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宋体" w:hAnsi="宋体"/>
          <w:b/>
          <w:sz w:val="44"/>
          <w:szCs w:val="44"/>
        </w:rPr>
      </w:pPr>
      <w:r>
        <w:rPr>
          <w:rFonts w:hint="eastAsia" w:ascii="宋体" w:hAnsi="宋体"/>
          <w:b/>
          <w:sz w:val="44"/>
          <w:szCs w:val="44"/>
          <w:lang w:eastAsia="zh-CN"/>
        </w:rPr>
        <w:t>肛裂</w:t>
      </w:r>
      <w:r>
        <w:rPr>
          <w:rFonts w:hint="eastAsia" w:ascii="宋体" w:hAnsi="宋体"/>
          <w:b/>
          <w:sz w:val="44"/>
          <w:szCs w:val="44"/>
        </w:rPr>
        <w:t>临床路径</w:t>
      </w:r>
    </w:p>
    <w:p>
      <w:pPr>
        <w:adjustRightInd w:val="0"/>
        <w:snapToGrid w:val="0"/>
        <w:spacing w:before="156" w:beforeLines="50"/>
        <w:jc w:val="both"/>
        <w:rPr>
          <w:rFonts w:ascii="仿宋_GB2312" w:eastAsia="仿宋_GB2312"/>
          <w:sz w:val="32"/>
          <w:szCs w:val="32"/>
        </w:rPr>
      </w:pPr>
    </w:p>
    <w:p>
      <w:pPr>
        <w:adjustRightInd w:val="0"/>
        <w:snapToGrid w:val="0"/>
        <w:spacing w:line="360" w:lineRule="auto"/>
        <w:rPr>
          <w:rFonts w:ascii="仿宋_GB2312" w:eastAsia="仿宋_GB2312"/>
          <w:sz w:val="24"/>
        </w:rPr>
      </w:pPr>
    </w:p>
    <w:p>
      <w:pPr>
        <w:adjustRightInd w:val="0"/>
        <w:snapToGrid w:val="0"/>
        <w:spacing w:line="560" w:lineRule="exact"/>
        <w:ind w:firstLine="640" w:firstLineChars="200"/>
        <w:rPr>
          <w:rFonts w:ascii="黑体" w:eastAsia="黑体"/>
          <w:sz w:val="32"/>
          <w:szCs w:val="32"/>
        </w:rPr>
      </w:pPr>
      <w:r>
        <w:rPr>
          <w:rFonts w:hint="eastAsia" w:ascii="黑体" w:eastAsia="黑体"/>
          <w:sz w:val="32"/>
          <w:szCs w:val="32"/>
        </w:rPr>
        <w:t>一、</w:t>
      </w:r>
      <w:r>
        <w:rPr>
          <w:rFonts w:hint="eastAsia" w:ascii="黑体" w:eastAsia="黑体"/>
          <w:sz w:val="32"/>
          <w:szCs w:val="32"/>
          <w:lang w:eastAsia="zh-CN"/>
        </w:rPr>
        <w:t>肛肠科肛裂</w:t>
      </w:r>
      <w:r>
        <w:rPr>
          <w:rFonts w:hint="eastAsia" w:ascii="黑体" w:eastAsia="黑体"/>
          <w:sz w:val="32"/>
          <w:szCs w:val="32"/>
        </w:rPr>
        <w:t>临床路径标准住院流程</w:t>
      </w:r>
    </w:p>
    <w:p>
      <w:pPr>
        <w:adjustRightInd w:val="0"/>
        <w:snapToGrid w:val="0"/>
        <w:spacing w:line="560" w:lineRule="exact"/>
        <w:ind w:firstLine="640" w:firstLineChars="200"/>
        <w:rPr>
          <w:rFonts w:ascii="楷体_GB2312" w:eastAsia="楷体_GB2312"/>
          <w:sz w:val="32"/>
          <w:szCs w:val="32"/>
        </w:rPr>
      </w:pPr>
      <w:r>
        <w:rPr>
          <w:rFonts w:hint="eastAsia" w:ascii="楷体_GB2312" w:eastAsia="楷体_GB2312"/>
          <w:sz w:val="32"/>
          <w:szCs w:val="32"/>
        </w:rPr>
        <w:t>（一）适用对象。</w:t>
      </w:r>
    </w:p>
    <w:p>
      <w:pPr>
        <w:adjustRightInd w:val="0"/>
        <w:snapToGrid w:val="0"/>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第一诊断为</w:t>
      </w:r>
      <w:r>
        <w:rPr>
          <w:rFonts w:hint="eastAsia" w:ascii="仿宋_GB2312" w:eastAsia="仿宋_GB2312"/>
          <w:sz w:val="32"/>
          <w:szCs w:val="32"/>
          <w:lang w:eastAsia="zh-CN"/>
        </w:rPr>
        <w:t>肛裂（</w:t>
      </w:r>
      <w:r>
        <w:rPr>
          <w:rFonts w:hint="eastAsia" w:ascii="仿宋_GB2312" w:eastAsia="仿宋_GB2312"/>
          <w:sz w:val="32"/>
          <w:szCs w:val="32"/>
        </w:rPr>
        <w:t>ICD-10：</w:t>
      </w:r>
      <w:r>
        <w:rPr>
          <w:rFonts w:hint="eastAsia" w:ascii="仿宋_GB2312" w:eastAsia="仿宋_GB2312"/>
          <w:sz w:val="32"/>
          <w:szCs w:val="32"/>
          <w:lang w:val="en-US" w:eastAsia="zh-CN"/>
        </w:rPr>
        <w:t>K60.201</w:t>
      </w:r>
      <w:r>
        <w:rPr>
          <w:rFonts w:hint="eastAsia" w:ascii="仿宋_GB2312" w:eastAsia="仿宋_GB2312"/>
          <w:sz w:val="32"/>
          <w:szCs w:val="32"/>
          <w:lang w:eastAsia="zh-CN"/>
        </w:rPr>
        <w:t>）</w:t>
      </w:r>
    </w:p>
    <w:p>
      <w:pPr>
        <w:adjustRightInd w:val="0"/>
        <w:snapToGrid w:val="0"/>
        <w:spacing w:line="560" w:lineRule="exact"/>
        <w:ind w:firstLine="640" w:firstLineChars="200"/>
        <w:rPr>
          <w:rFonts w:ascii="仿宋_GB2312" w:eastAsia="仿宋_GB2312"/>
          <w:color w:val="FF0000"/>
          <w:sz w:val="32"/>
          <w:szCs w:val="32"/>
        </w:rPr>
      </w:pPr>
      <w:r>
        <w:rPr>
          <w:rFonts w:hint="eastAsia" w:ascii="仿宋_GB2312" w:eastAsia="仿宋_GB2312"/>
          <w:sz w:val="32"/>
          <w:szCs w:val="32"/>
          <w:lang w:eastAsia="zh-CN"/>
        </w:rPr>
        <w:t>据肛裂严重程度及并发症可选择术式：肛裂</w:t>
      </w:r>
      <w:r>
        <w:rPr>
          <w:rFonts w:hint="eastAsia" w:ascii="仿宋_GB2312" w:eastAsia="仿宋_GB2312"/>
          <w:sz w:val="32"/>
          <w:szCs w:val="32"/>
        </w:rPr>
        <w:t>切除术</w:t>
      </w:r>
      <w:r>
        <w:rPr>
          <w:rFonts w:hint="eastAsia" w:ascii="仿宋_GB2312" w:eastAsia="仿宋_GB2312"/>
          <w:sz w:val="32"/>
          <w:szCs w:val="32"/>
          <w:lang w:eastAsia="zh-CN"/>
        </w:rPr>
        <w:t>（</w:t>
      </w:r>
      <w:r>
        <w:rPr>
          <w:rFonts w:hint="eastAsia" w:ascii="仿宋_GB2312" w:eastAsia="仿宋_GB2312"/>
          <w:sz w:val="32"/>
          <w:szCs w:val="32"/>
        </w:rPr>
        <w:t>ICD-9-CM-3：</w:t>
      </w:r>
      <w:r>
        <w:rPr>
          <w:rFonts w:hint="eastAsia" w:ascii="仿宋_GB2312" w:eastAsia="仿宋_GB2312"/>
          <w:sz w:val="32"/>
          <w:szCs w:val="32"/>
          <w:lang w:val="en-US" w:eastAsia="zh-CN"/>
        </w:rPr>
        <w:t>49.3901</w:t>
      </w:r>
      <w:r>
        <w:rPr>
          <w:rFonts w:hint="eastAsia" w:ascii="仿宋_GB2312" w:eastAsia="仿宋_GB2312"/>
          <w:sz w:val="32"/>
          <w:szCs w:val="32"/>
          <w:lang w:eastAsia="zh-CN"/>
        </w:rPr>
        <w:t>）、肛门内括约肌侧切术（包括后正中切断术</w:t>
      </w:r>
      <w:r>
        <w:rPr>
          <w:rFonts w:hint="eastAsia" w:ascii="仿宋_GB2312" w:eastAsia="仿宋_GB2312"/>
          <w:sz w:val="32"/>
          <w:szCs w:val="32"/>
          <w:lang w:val="en-US" w:eastAsia="zh-CN"/>
        </w:rPr>
        <w:t>)（</w:t>
      </w:r>
      <w:r>
        <w:rPr>
          <w:rFonts w:hint="eastAsia" w:ascii="仿宋_GB2312" w:eastAsia="仿宋_GB2312"/>
          <w:sz w:val="32"/>
          <w:szCs w:val="32"/>
        </w:rPr>
        <w:t>ICD-9-CM-3：</w:t>
      </w:r>
      <w:r>
        <w:rPr>
          <w:rFonts w:hint="eastAsia" w:ascii="仿宋_GB2312" w:eastAsia="仿宋_GB2312"/>
          <w:sz w:val="32"/>
          <w:szCs w:val="32"/>
          <w:lang w:val="en-US" w:eastAsia="zh-CN"/>
        </w:rPr>
        <w:t>49.5906）</w:t>
      </w:r>
      <w:r>
        <w:rPr>
          <w:rFonts w:hint="eastAsia" w:ascii="仿宋_GB2312" w:eastAsia="仿宋_GB2312"/>
          <w:sz w:val="32"/>
          <w:szCs w:val="32"/>
          <w:lang w:eastAsia="zh-CN"/>
        </w:rPr>
        <w:t>、手术扩肛治疗（</w:t>
      </w:r>
      <w:r>
        <w:rPr>
          <w:rFonts w:hint="eastAsia" w:ascii="仿宋_GB2312" w:eastAsia="仿宋_GB2312"/>
          <w:sz w:val="32"/>
          <w:szCs w:val="32"/>
        </w:rPr>
        <w:t>ICD-9-CM-3：</w:t>
      </w:r>
      <w:r>
        <w:rPr>
          <w:rFonts w:hint="eastAsia" w:ascii="仿宋_GB2312" w:eastAsia="仿宋_GB2312"/>
          <w:sz w:val="32"/>
          <w:szCs w:val="32"/>
          <w:lang w:val="en-US" w:eastAsia="zh-CN"/>
        </w:rPr>
        <w:t>49.9906</w:t>
      </w:r>
      <w:r>
        <w:rPr>
          <w:rFonts w:hint="eastAsia" w:ascii="仿宋_GB2312" w:eastAsia="仿宋_GB2312"/>
          <w:sz w:val="32"/>
          <w:szCs w:val="32"/>
          <w:lang w:eastAsia="zh-CN"/>
        </w:rPr>
        <w:t>）。如肛裂合并哨痔、肛乳头肥大、潜行肛瘘等时需行哨痔切除术、肛乳头切除术、潜行肛瘘切除术等。</w:t>
      </w:r>
    </w:p>
    <w:p>
      <w:pPr>
        <w:adjustRightInd w:val="0"/>
        <w:snapToGrid w:val="0"/>
        <w:spacing w:line="560" w:lineRule="exact"/>
        <w:ind w:firstLine="640" w:firstLineChars="200"/>
        <w:rPr>
          <w:rFonts w:ascii="楷体_GB2312" w:eastAsia="楷体_GB2312"/>
          <w:sz w:val="32"/>
          <w:szCs w:val="32"/>
        </w:rPr>
      </w:pPr>
      <w:r>
        <w:rPr>
          <w:rFonts w:hint="eastAsia" w:ascii="楷体_GB2312" w:eastAsia="楷体_GB2312"/>
          <w:sz w:val="32"/>
          <w:szCs w:val="32"/>
        </w:rPr>
        <w:t>（二）诊断依据。</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根据《临床诊疗指南-外科学分册》（中华医学会编著，人民卫生出版社）</w:t>
      </w:r>
    </w:p>
    <w:p>
      <w:pPr>
        <w:numPr>
          <w:ilvl w:val="0"/>
          <w:numId w:val="1"/>
        </w:numPr>
        <w:adjustRightInd w:val="0"/>
        <w:snapToGrid w:val="0"/>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临床表现：</w:t>
      </w:r>
      <w:r>
        <w:rPr>
          <w:rFonts w:hint="eastAsia" w:ascii="仿宋_GB2312" w:eastAsia="仿宋_GB2312"/>
          <w:sz w:val="32"/>
          <w:szCs w:val="32"/>
          <w:lang w:eastAsia="zh-CN"/>
        </w:rPr>
        <w:t>便血、肛门疼痛、便秘。</w:t>
      </w:r>
    </w:p>
    <w:p>
      <w:pPr>
        <w:numPr>
          <w:ilvl w:val="0"/>
          <w:numId w:val="0"/>
        </w:numPr>
        <w:adjustRightInd w:val="0"/>
        <w:snapToGrid w:val="0"/>
        <w:spacing w:line="560" w:lineRule="exact"/>
        <w:rPr>
          <w:rFonts w:ascii="仿宋_GB2312" w:eastAsia="仿宋_GB2312"/>
          <w:sz w:val="32"/>
          <w:szCs w:val="32"/>
        </w:rPr>
      </w:pPr>
      <w:r>
        <w:rPr>
          <w:rFonts w:hint="eastAsia" w:ascii="仿宋_GB2312" w:eastAsia="仿宋_GB2312"/>
          <w:sz w:val="32"/>
          <w:szCs w:val="32"/>
          <w:lang w:val="en-US" w:eastAsia="zh-CN"/>
        </w:rPr>
        <w:t xml:space="preserve">    </w:t>
      </w:r>
      <w:r>
        <w:rPr>
          <w:rFonts w:hint="eastAsia" w:ascii="仿宋_GB2312" w:eastAsia="仿宋_GB2312"/>
          <w:sz w:val="32"/>
          <w:szCs w:val="32"/>
        </w:rPr>
        <w:t>2.体格检查：</w:t>
      </w:r>
      <w:r>
        <w:rPr>
          <w:rFonts w:hint="eastAsia" w:ascii="仿宋_GB2312" w:eastAsia="仿宋_GB2312"/>
          <w:sz w:val="32"/>
          <w:szCs w:val="32"/>
          <w:lang w:eastAsia="zh-CN"/>
        </w:rPr>
        <w:t>一般查体及</w:t>
      </w:r>
      <w:r>
        <w:rPr>
          <w:rFonts w:hint="eastAsia" w:ascii="仿宋_GB2312" w:eastAsia="仿宋_GB2312"/>
          <w:sz w:val="32"/>
          <w:szCs w:val="32"/>
        </w:rPr>
        <w:t>肛门</w:t>
      </w:r>
      <w:r>
        <w:rPr>
          <w:rFonts w:hint="eastAsia" w:ascii="仿宋_GB2312" w:eastAsia="仿宋_GB2312"/>
          <w:sz w:val="32"/>
          <w:szCs w:val="32"/>
          <w:lang w:eastAsia="zh-CN"/>
        </w:rPr>
        <w:t>专科检查（包括视诊、指检、肛门镜检）</w:t>
      </w:r>
      <w:r>
        <w:rPr>
          <w:rFonts w:hint="eastAsia" w:ascii="仿宋_GB2312" w:eastAsia="仿宋_GB2312"/>
          <w:sz w:val="32"/>
          <w:szCs w:val="32"/>
        </w:rPr>
        <w:t>，必要时行直肠、乙状结肠硬镜或纤维肠镜检查。</w:t>
      </w:r>
    </w:p>
    <w:p>
      <w:pPr>
        <w:adjustRightInd w:val="0"/>
        <w:snapToGrid w:val="0"/>
        <w:spacing w:line="560" w:lineRule="exact"/>
        <w:ind w:firstLine="640" w:firstLineChars="200"/>
        <w:rPr>
          <w:rFonts w:ascii="楷体_GB2312" w:eastAsia="楷体_GB2312"/>
          <w:sz w:val="32"/>
          <w:szCs w:val="32"/>
        </w:rPr>
      </w:pPr>
      <w:r>
        <w:rPr>
          <w:rFonts w:hint="eastAsia" w:ascii="楷体_GB2312" w:eastAsia="楷体_GB2312"/>
          <w:sz w:val="32"/>
          <w:szCs w:val="32"/>
        </w:rPr>
        <w:t>（三）治疗方案的选择。</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根据《临床诊疗指南-外科学分册》（中华医学会编著，人民卫生出版社）</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1.一般治疗：包括增加水份摄入及膳食纤维，保持大便通畅，防治便秘和腹泻，温热坐浴，保持会阴清洁等。</w:t>
      </w:r>
    </w:p>
    <w:p>
      <w:pPr>
        <w:adjustRightInd w:val="0"/>
        <w:snapToGrid w:val="0"/>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rPr>
        <w:t>2.手术治疗：</w:t>
      </w:r>
      <w:r>
        <w:rPr>
          <w:rFonts w:hint="eastAsia" w:ascii="仿宋_GB2312" w:eastAsia="仿宋_GB2312"/>
          <w:sz w:val="32"/>
          <w:szCs w:val="32"/>
          <w:lang w:eastAsia="zh-CN"/>
        </w:rPr>
        <w:t>肛裂</w:t>
      </w:r>
      <w:r>
        <w:rPr>
          <w:rFonts w:hint="eastAsia" w:ascii="仿宋_GB2312" w:eastAsia="仿宋_GB2312"/>
          <w:sz w:val="32"/>
          <w:szCs w:val="32"/>
        </w:rPr>
        <w:t>切除术</w:t>
      </w:r>
      <w:r>
        <w:rPr>
          <w:rFonts w:hint="eastAsia" w:ascii="仿宋_GB2312" w:eastAsia="仿宋_GB2312"/>
          <w:sz w:val="32"/>
          <w:szCs w:val="32"/>
          <w:lang w:eastAsia="zh-CN"/>
        </w:rPr>
        <w:t>、肛门内括约肌侧切术（包括后正中切断术</w:t>
      </w:r>
      <w:r>
        <w:rPr>
          <w:rFonts w:hint="eastAsia" w:ascii="仿宋_GB2312" w:eastAsia="仿宋_GB2312"/>
          <w:sz w:val="32"/>
          <w:szCs w:val="32"/>
          <w:lang w:val="en-US" w:eastAsia="zh-CN"/>
        </w:rPr>
        <w:t>)</w:t>
      </w:r>
      <w:r>
        <w:rPr>
          <w:rFonts w:hint="eastAsia" w:ascii="仿宋_GB2312" w:eastAsia="仿宋_GB2312"/>
          <w:sz w:val="32"/>
          <w:szCs w:val="32"/>
          <w:lang w:eastAsia="zh-CN"/>
        </w:rPr>
        <w:t>、手术扩肛治疗。如肛裂合并哨痔、肛乳头肥大、潜行肛瘘等时需行哨痔切除术、肛乳头切除术、潜行肛瘘切除术等。</w:t>
      </w:r>
    </w:p>
    <w:p>
      <w:pPr>
        <w:adjustRightInd w:val="0"/>
        <w:snapToGrid w:val="0"/>
        <w:spacing w:line="560" w:lineRule="exact"/>
        <w:ind w:firstLine="640" w:firstLineChars="200"/>
        <w:rPr>
          <w:rFonts w:hint="eastAsia" w:ascii="楷体_GB2312" w:eastAsia="楷体_GB2312"/>
          <w:sz w:val="32"/>
          <w:szCs w:val="32"/>
          <w:lang w:eastAsia="zh-CN"/>
        </w:rPr>
      </w:pPr>
      <w:r>
        <w:rPr>
          <w:rFonts w:hint="eastAsia" w:ascii="楷体_GB2312" w:eastAsia="楷体_GB2312"/>
          <w:sz w:val="32"/>
          <w:szCs w:val="32"/>
        </w:rPr>
        <w:t>（四）</w:t>
      </w:r>
      <w:r>
        <w:rPr>
          <w:rFonts w:hint="eastAsia" w:ascii="楷体_GB2312" w:eastAsia="楷体_GB2312"/>
          <w:sz w:val="32"/>
          <w:szCs w:val="32"/>
          <w:lang w:eastAsia="zh-CN"/>
        </w:rPr>
        <w:t>因肛裂伤口为开放性伤口，愈合缓慢，伤口痊愈需</w:t>
      </w:r>
      <w:r>
        <w:rPr>
          <w:rFonts w:hint="eastAsia" w:ascii="楷体_GB2312" w:eastAsia="楷体_GB2312"/>
          <w:sz w:val="32"/>
          <w:szCs w:val="32"/>
          <w:lang w:val="en-US" w:eastAsia="zh-CN"/>
        </w:rPr>
        <w:t>21-30</w:t>
      </w:r>
      <w:r>
        <w:rPr>
          <w:rFonts w:hint="eastAsia" w:ascii="楷体_GB2312" w:eastAsia="楷体_GB2312"/>
          <w:sz w:val="32"/>
          <w:szCs w:val="32"/>
        </w:rPr>
        <w:t>天</w:t>
      </w:r>
      <w:r>
        <w:rPr>
          <w:rFonts w:hint="eastAsia" w:ascii="楷体_GB2312" w:eastAsia="楷体_GB2312"/>
          <w:sz w:val="32"/>
          <w:szCs w:val="32"/>
          <w:lang w:eastAsia="zh-CN"/>
        </w:rPr>
        <w:t>左右。</w:t>
      </w:r>
    </w:p>
    <w:p>
      <w:pPr>
        <w:adjustRightInd w:val="0"/>
        <w:snapToGrid w:val="0"/>
        <w:spacing w:line="560" w:lineRule="exact"/>
        <w:ind w:firstLine="640" w:firstLineChars="200"/>
        <w:rPr>
          <w:rFonts w:ascii="楷体_GB2312" w:eastAsia="楷体_GB2312"/>
          <w:sz w:val="32"/>
          <w:szCs w:val="32"/>
        </w:rPr>
      </w:pPr>
      <w:r>
        <w:rPr>
          <w:rFonts w:hint="eastAsia" w:ascii="楷体_GB2312" w:eastAsia="楷体_GB2312"/>
          <w:sz w:val="32"/>
          <w:szCs w:val="32"/>
        </w:rPr>
        <w:t>（五）进入路径标准。</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1.第一诊断必须符合</w:t>
      </w:r>
      <w:r>
        <w:rPr>
          <w:rFonts w:hint="eastAsia" w:ascii="仿宋_GB2312" w:eastAsia="仿宋_GB2312"/>
          <w:sz w:val="32"/>
          <w:szCs w:val="32"/>
          <w:lang w:eastAsia="zh-CN"/>
        </w:rPr>
        <w:t>肛裂</w:t>
      </w:r>
      <w:r>
        <w:rPr>
          <w:rFonts w:hint="eastAsia" w:ascii="仿宋_GB2312" w:eastAsia="仿宋_GB2312"/>
          <w:sz w:val="32"/>
          <w:szCs w:val="32"/>
        </w:rPr>
        <w:t>疾病编码</w:t>
      </w:r>
      <w:r>
        <w:rPr>
          <w:rFonts w:hint="eastAsia" w:ascii="仿宋_GB2312" w:eastAsia="仿宋_GB2312"/>
          <w:sz w:val="32"/>
          <w:szCs w:val="32"/>
          <w:lang w:eastAsia="zh-CN"/>
        </w:rPr>
        <w:t>（</w:t>
      </w:r>
      <w:r>
        <w:rPr>
          <w:rFonts w:hint="eastAsia" w:ascii="仿宋_GB2312" w:eastAsia="仿宋_GB2312"/>
          <w:sz w:val="32"/>
          <w:szCs w:val="32"/>
        </w:rPr>
        <w:t>ICD-10：</w:t>
      </w:r>
      <w:r>
        <w:rPr>
          <w:rFonts w:hint="eastAsia" w:ascii="仿宋_GB2312" w:eastAsia="仿宋_GB2312"/>
          <w:sz w:val="32"/>
          <w:szCs w:val="32"/>
          <w:lang w:val="en-US" w:eastAsia="zh-CN"/>
        </w:rPr>
        <w:t>K60.201</w:t>
      </w:r>
      <w:r>
        <w:rPr>
          <w:rFonts w:hint="eastAsia" w:ascii="仿宋_GB2312" w:eastAsia="仿宋_GB2312"/>
          <w:sz w:val="32"/>
          <w:szCs w:val="32"/>
          <w:lang w:eastAsia="zh-CN"/>
        </w:rPr>
        <w:t>）</w:t>
      </w:r>
      <w:r>
        <w:rPr>
          <w:rFonts w:hint="eastAsia" w:ascii="仿宋_GB2312" w:eastAsia="仿宋_GB2312"/>
          <w:sz w:val="32"/>
          <w:szCs w:val="32"/>
        </w:rPr>
        <w:t>。</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2.当患者同时具有其他疾病诊断，但在住院期间不需特殊处理也不影响第一诊断的临床路径流程实施时，可以进入路径。</w:t>
      </w:r>
    </w:p>
    <w:p>
      <w:pPr>
        <w:adjustRightInd w:val="0"/>
        <w:snapToGrid w:val="0"/>
        <w:spacing w:line="560" w:lineRule="exact"/>
        <w:ind w:firstLine="640" w:firstLineChars="200"/>
        <w:rPr>
          <w:rFonts w:ascii="楷体_GB2312" w:eastAsia="楷体_GB2312"/>
          <w:sz w:val="32"/>
          <w:szCs w:val="32"/>
        </w:rPr>
      </w:pPr>
      <w:r>
        <w:rPr>
          <w:rFonts w:hint="eastAsia" w:ascii="楷体_GB2312" w:eastAsia="楷体_GB2312"/>
          <w:sz w:val="32"/>
          <w:szCs w:val="32"/>
        </w:rPr>
        <w:t>（六）术前准备（术前评估）1</w:t>
      </w:r>
      <w:r>
        <w:rPr>
          <w:rFonts w:hint="eastAsia" w:ascii="楷体_GB2312" w:eastAsia="楷体_GB2312"/>
          <w:sz w:val="32"/>
          <w:szCs w:val="32"/>
          <w:lang w:val="en-US" w:eastAsia="zh-CN"/>
        </w:rPr>
        <w:t>-2</w:t>
      </w:r>
      <w:r>
        <w:rPr>
          <w:rFonts w:hint="eastAsia" w:ascii="楷体_GB2312" w:eastAsia="楷体_GB2312"/>
          <w:sz w:val="32"/>
          <w:szCs w:val="32"/>
        </w:rPr>
        <w:t>天</w:t>
      </w:r>
      <w:r>
        <w:rPr>
          <w:rFonts w:hint="eastAsia" w:ascii="楷体_GB2312" w:eastAsia="楷体_GB2312"/>
          <w:sz w:val="32"/>
          <w:szCs w:val="32"/>
          <w:lang w:eastAsia="zh-CN"/>
        </w:rPr>
        <w:t>（合并严重他科疾病影响手术者除外）</w:t>
      </w:r>
      <w:r>
        <w:rPr>
          <w:rFonts w:hint="eastAsia" w:ascii="楷体_GB2312" w:eastAsia="楷体_GB2312"/>
          <w:sz w:val="32"/>
          <w:szCs w:val="32"/>
        </w:rPr>
        <w:t>。</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1.所必须的检查项目：</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（1）血常规、大小便常规</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（2）肝肾功能、血糖、</w:t>
      </w:r>
      <w:r>
        <w:rPr>
          <w:rFonts w:hint="eastAsia" w:ascii="仿宋_GB2312" w:eastAsia="仿宋_GB2312"/>
          <w:sz w:val="32"/>
          <w:szCs w:val="32"/>
          <w:lang w:eastAsia="zh-CN"/>
        </w:rPr>
        <w:t>电解质、</w:t>
      </w:r>
      <w:r>
        <w:rPr>
          <w:rFonts w:hint="eastAsia" w:ascii="仿宋_GB2312" w:eastAsia="仿宋_GB2312"/>
          <w:sz w:val="32"/>
          <w:szCs w:val="32"/>
        </w:rPr>
        <w:t>凝血功能、感染性疾病筛查（乙肝、、梅毒、艾滋病等）</w:t>
      </w:r>
    </w:p>
    <w:p>
      <w:pPr>
        <w:adjustRightInd w:val="0"/>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（3）心电图、X线胸片</w:t>
      </w:r>
    </w:p>
    <w:p>
      <w:pPr>
        <w:adjustRightInd w:val="0"/>
        <w:snapToGrid w:val="0"/>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4</w:t>
      </w:r>
      <w:r>
        <w:rPr>
          <w:rFonts w:hint="eastAsia" w:ascii="仿宋_GB2312" w:eastAsia="仿宋_GB2312"/>
          <w:sz w:val="32"/>
          <w:szCs w:val="32"/>
          <w:lang w:eastAsia="zh-CN"/>
        </w:rPr>
        <w:t>）肛管直肠压力测定</w:t>
      </w:r>
    </w:p>
    <w:p>
      <w:pPr>
        <w:adjustRightInd w:val="0"/>
        <w:snapToGrid w:val="0"/>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5</w:t>
      </w:r>
      <w:r>
        <w:rPr>
          <w:rFonts w:hint="eastAsia" w:ascii="仿宋_GB2312" w:eastAsia="仿宋_GB2312"/>
          <w:sz w:val="32"/>
          <w:szCs w:val="32"/>
          <w:lang w:eastAsia="zh-CN"/>
        </w:rPr>
        <w:t>）肛门彩</w:t>
      </w:r>
      <w:r>
        <w:rPr>
          <w:rFonts w:hint="eastAsia" w:ascii="仿宋_GB2312" w:eastAsia="仿宋_GB2312"/>
          <w:sz w:val="32"/>
          <w:szCs w:val="32"/>
          <w:lang w:val="en-US" w:eastAsia="zh-CN"/>
        </w:rPr>
        <w:t>超检查或经直肠腔内彩超检查</w:t>
      </w:r>
    </w:p>
    <w:p>
      <w:pPr>
        <w:adjustRightInd w:val="0"/>
        <w:snapToGrid w:val="0"/>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（6）肛门专科检查（肛门视诊、肛门指检、肛门镜检查）</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2.必要时行直肠、乙状结肠镜或纤维肠镜检查。</w:t>
      </w:r>
    </w:p>
    <w:p>
      <w:pPr>
        <w:adjustRightInd w:val="0"/>
        <w:snapToGrid w:val="0"/>
        <w:spacing w:line="560" w:lineRule="exact"/>
        <w:ind w:firstLine="640" w:firstLineChars="200"/>
        <w:rPr>
          <w:rFonts w:ascii="楷体_GB2312" w:eastAsia="楷体_GB2312"/>
          <w:sz w:val="32"/>
          <w:szCs w:val="32"/>
        </w:rPr>
      </w:pPr>
      <w:r>
        <w:rPr>
          <w:rFonts w:hint="eastAsia" w:ascii="楷体_GB2312" w:eastAsia="楷体_GB2312"/>
          <w:sz w:val="32"/>
          <w:szCs w:val="32"/>
        </w:rPr>
        <w:t>（七）抗菌药物选择与使用时机。</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抗菌药物：按照《抗菌药物临床应用指导原则》执行，并结合患者的病情决定抗菌药物的选择。</w:t>
      </w:r>
    </w:p>
    <w:p>
      <w:pPr>
        <w:adjustRightInd w:val="0"/>
        <w:snapToGrid w:val="0"/>
        <w:spacing w:line="560" w:lineRule="exact"/>
        <w:ind w:firstLine="640" w:firstLineChars="200"/>
        <w:rPr>
          <w:rFonts w:ascii="楷体_GB2312" w:eastAsia="楷体_GB2312"/>
          <w:sz w:val="32"/>
          <w:szCs w:val="32"/>
        </w:rPr>
      </w:pPr>
      <w:r>
        <w:rPr>
          <w:rFonts w:hint="eastAsia" w:ascii="楷体_GB2312" w:eastAsia="楷体_GB2312"/>
          <w:sz w:val="32"/>
          <w:szCs w:val="32"/>
        </w:rPr>
        <w:t>（八）</w:t>
      </w:r>
      <w:r>
        <w:rPr>
          <w:rFonts w:hint="eastAsia" w:ascii="楷体_GB2312" w:eastAsia="楷体_GB2312"/>
          <w:sz w:val="32"/>
          <w:szCs w:val="32"/>
          <w:lang w:eastAsia="zh-CN"/>
        </w:rPr>
        <w:t>若无明显手术禁忌症，</w:t>
      </w:r>
      <w:r>
        <w:rPr>
          <w:rFonts w:hint="eastAsia" w:ascii="楷体_GB2312" w:eastAsia="楷体_GB2312"/>
          <w:sz w:val="32"/>
          <w:szCs w:val="32"/>
        </w:rPr>
        <w:t>手术日为入院第</w:t>
      </w:r>
      <w:r>
        <w:rPr>
          <w:rFonts w:hint="eastAsia" w:ascii="楷体_GB2312" w:eastAsia="楷体_GB2312"/>
          <w:sz w:val="32"/>
          <w:szCs w:val="32"/>
          <w:lang w:val="en-US" w:eastAsia="zh-CN"/>
        </w:rPr>
        <w:t>2-3</w:t>
      </w:r>
      <w:r>
        <w:rPr>
          <w:rFonts w:hint="eastAsia" w:ascii="楷体_GB2312" w:eastAsia="楷体_GB2312"/>
          <w:sz w:val="32"/>
          <w:szCs w:val="32"/>
        </w:rPr>
        <w:t>天。</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1.麻醉方式：局麻或针刺加穴位麻醉或连续硬膜外麻醉或硬膜外蛛网膜下腔联合阻滞麻醉。</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eastAsia="zh-CN"/>
        </w:rPr>
        <w:t>据肛裂严重程度及并发症可选择术式：肛裂</w:t>
      </w:r>
      <w:r>
        <w:rPr>
          <w:rFonts w:hint="eastAsia" w:ascii="仿宋_GB2312" w:eastAsia="仿宋_GB2312"/>
          <w:sz w:val="32"/>
          <w:szCs w:val="32"/>
        </w:rPr>
        <w:t>切除术</w:t>
      </w:r>
      <w:r>
        <w:rPr>
          <w:rFonts w:hint="eastAsia" w:ascii="仿宋_GB2312" w:eastAsia="仿宋_GB2312"/>
          <w:sz w:val="32"/>
          <w:szCs w:val="32"/>
          <w:lang w:eastAsia="zh-CN"/>
        </w:rPr>
        <w:t>、肛门内括约肌侧切术（包括后正中切断术</w:t>
      </w:r>
      <w:r>
        <w:rPr>
          <w:rFonts w:hint="eastAsia" w:ascii="仿宋_GB2312" w:eastAsia="仿宋_GB2312"/>
          <w:sz w:val="32"/>
          <w:szCs w:val="32"/>
          <w:lang w:val="en-US" w:eastAsia="zh-CN"/>
        </w:rPr>
        <w:t>)</w:t>
      </w:r>
      <w:r>
        <w:rPr>
          <w:rFonts w:hint="eastAsia" w:ascii="仿宋_GB2312" w:eastAsia="仿宋_GB2312"/>
          <w:sz w:val="32"/>
          <w:szCs w:val="32"/>
          <w:lang w:eastAsia="zh-CN"/>
        </w:rPr>
        <w:t>、手术扩肛治疗。如肛裂合并哨痔、肛乳头肥大、潜行肛瘘等时需行哨痔切除术、肛乳头切除术、潜行肛瘘切除术等。</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3.术后标本送病理</w:t>
      </w:r>
      <w:r>
        <w:rPr>
          <w:rFonts w:hint="eastAsia" w:ascii="仿宋_GB2312" w:eastAsia="仿宋_GB2312"/>
          <w:sz w:val="32"/>
          <w:szCs w:val="32"/>
          <w:lang w:eastAsia="zh-CN"/>
        </w:rPr>
        <w:t>检查</w:t>
      </w:r>
      <w:r>
        <w:rPr>
          <w:rFonts w:hint="eastAsia" w:ascii="仿宋_GB2312" w:eastAsia="仿宋_GB2312"/>
          <w:sz w:val="32"/>
          <w:szCs w:val="32"/>
        </w:rPr>
        <w:t>。</w:t>
      </w:r>
    </w:p>
    <w:p>
      <w:pPr>
        <w:adjustRightInd w:val="0"/>
        <w:snapToGrid w:val="0"/>
        <w:spacing w:line="560" w:lineRule="exact"/>
        <w:ind w:firstLine="640" w:firstLineChars="200"/>
        <w:rPr>
          <w:rFonts w:ascii="楷体_GB2312" w:eastAsia="楷体_GB2312"/>
          <w:sz w:val="32"/>
          <w:szCs w:val="32"/>
        </w:rPr>
      </w:pPr>
      <w:r>
        <w:rPr>
          <w:rFonts w:hint="eastAsia" w:ascii="楷体_GB2312" w:eastAsia="楷体_GB2312"/>
          <w:sz w:val="32"/>
          <w:szCs w:val="32"/>
        </w:rPr>
        <w:t>（九）术后</w:t>
      </w:r>
      <w:r>
        <w:rPr>
          <w:rFonts w:hint="eastAsia" w:ascii="楷体_GB2312" w:eastAsia="楷体_GB2312"/>
          <w:sz w:val="32"/>
          <w:szCs w:val="32"/>
          <w:lang w:eastAsia="zh-CN"/>
        </w:rPr>
        <w:t>处理</w:t>
      </w:r>
      <w:r>
        <w:rPr>
          <w:rFonts w:hint="eastAsia" w:ascii="楷体_GB2312" w:eastAsia="楷体_GB2312"/>
          <w:sz w:val="32"/>
          <w:szCs w:val="32"/>
        </w:rPr>
        <w:t>。</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1.局部麻醉患者术后即可进食，半小时后可下床活动、进食。</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2.连续硬膜外麻醉或腰硬联合麻醉者术后去枕平卧、禁食水6小时，补液治疗；术后6小时可下床活动，可进流食。</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3.解大便后开始</w:t>
      </w:r>
      <w:r>
        <w:rPr>
          <w:rFonts w:hint="eastAsia" w:ascii="仿宋_GB2312" w:eastAsia="仿宋_GB2312"/>
          <w:sz w:val="32"/>
          <w:szCs w:val="32"/>
          <w:lang w:eastAsia="zh-CN"/>
        </w:rPr>
        <w:t>肛门</w:t>
      </w:r>
      <w:r>
        <w:rPr>
          <w:rFonts w:hint="eastAsia" w:ascii="仿宋_GB2312" w:eastAsia="仿宋_GB2312"/>
          <w:sz w:val="32"/>
          <w:szCs w:val="32"/>
        </w:rPr>
        <w:t>换药</w:t>
      </w:r>
      <w:r>
        <w:rPr>
          <w:rFonts w:hint="eastAsia" w:ascii="仿宋_GB2312" w:eastAsia="仿宋_GB2312"/>
          <w:sz w:val="32"/>
          <w:szCs w:val="32"/>
          <w:lang w:eastAsia="zh-CN"/>
        </w:rPr>
        <w:t>治疗</w:t>
      </w:r>
      <w:r>
        <w:rPr>
          <w:rFonts w:hint="eastAsia" w:ascii="仿宋_GB2312" w:eastAsia="仿宋_GB2312"/>
          <w:sz w:val="32"/>
          <w:szCs w:val="32"/>
        </w:rPr>
        <w:t>，</w:t>
      </w:r>
      <w:r>
        <w:rPr>
          <w:rFonts w:hint="eastAsia" w:ascii="仿宋_GB2312" w:eastAsia="仿宋_GB2312"/>
          <w:sz w:val="32"/>
          <w:szCs w:val="32"/>
          <w:lang w:eastAsia="zh-CN"/>
        </w:rPr>
        <w:t>药物熏洗、坐浴，红光治疗等，局部伤口特殊处理（出现伤口异常时），</w:t>
      </w:r>
      <w:r>
        <w:rPr>
          <w:rFonts w:hint="eastAsia" w:ascii="仿宋_GB2312" w:eastAsia="仿宋_GB2312"/>
          <w:sz w:val="32"/>
          <w:szCs w:val="32"/>
        </w:rPr>
        <w:t>创面较深时，放置纱条引流并保持引流通畅。</w:t>
      </w:r>
    </w:p>
    <w:p>
      <w:pPr>
        <w:adjustRightInd w:val="0"/>
        <w:snapToGrid w:val="0"/>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rPr>
        <w:t>4.术后用药：</w:t>
      </w:r>
      <w:r>
        <w:rPr>
          <w:rFonts w:hint="eastAsia" w:ascii="仿宋_GB2312" w:eastAsia="仿宋_GB2312"/>
          <w:sz w:val="32"/>
          <w:szCs w:val="32"/>
          <w:lang w:eastAsia="zh-CN"/>
        </w:rPr>
        <w:t>因肛裂切口为Ⅱ类污染切口，术后常规应用抗菌药物</w:t>
      </w:r>
      <w:r>
        <w:rPr>
          <w:rFonts w:hint="eastAsia" w:ascii="仿宋_GB2312" w:eastAsia="仿宋_GB2312"/>
          <w:sz w:val="32"/>
          <w:szCs w:val="32"/>
          <w:lang w:val="en-US" w:eastAsia="zh-CN"/>
        </w:rPr>
        <w:t>3-5天（首选二代头孢，若切口深大加用硝唑类抗菌药物Ⅱ联用药）；口服软化大便及消除水肿药物。</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5.术后异常反应处理：</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（1）疼痛处理：酌情选用镇静药、止痛药、患者自控镇痛泵等。</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（2）术后尿潴留的预防及处理：理疗、针灸、局部封闭、导尿等。</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（3）伤口渗血处理：换药、出血点压迫或缝扎止血，使用止血剂。</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（4）排便困难：软化大便药物口服，必要时诱导灌肠。</w:t>
      </w:r>
    </w:p>
    <w:p>
      <w:pPr>
        <w:adjustRightInd w:val="0"/>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（5）创面水肿：使用局部或</w:t>
      </w:r>
      <w:r>
        <w:rPr>
          <w:rFonts w:hint="eastAsia" w:ascii="仿宋_GB2312" w:eastAsia="仿宋_GB2312"/>
          <w:sz w:val="32"/>
          <w:szCs w:val="32"/>
          <w:lang w:eastAsia="zh-CN"/>
        </w:rPr>
        <w:t>口服</w:t>
      </w:r>
      <w:r>
        <w:rPr>
          <w:rFonts w:hint="eastAsia" w:ascii="仿宋_GB2312" w:eastAsia="仿宋_GB2312"/>
          <w:sz w:val="32"/>
          <w:szCs w:val="32"/>
        </w:rPr>
        <w:t>消水肿药</w:t>
      </w:r>
      <w:r>
        <w:rPr>
          <w:rFonts w:hint="eastAsia" w:ascii="仿宋_GB2312" w:eastAsia="仿宋_GB2312"/>
          <w:sz w:val="32"/>
          <w:szCs w:val="32"/>
          <w:lang w:eastAsia="zh-CN"/>
        </w:rPr>
        <w:t>、</w:t>
      </w:r>
      <w:r>
        <w:rPr>
          <w:rFonts w:hint="eastAsia" w:ascii="仿宋_GB2312" w:eastAsia="仿宋_GB2312"/>
          <w:sz w:val="32"/>
          <w:szCs w:val="32"/>
          <w:lang w:val="en-US" w:eastAsia="zh-CN"/>
        </w:rPr>
        <w:t>TDP及红光治疗</w:t>
      </w:r>
      <w:r>
        <w:rPr>
          <w:rFonts w:hint="eastAsia" w:ascii="仿宋_GB2312" w:eastAsia="仿宋_GB2312"/>
          <w:sz w:val="32"/>
          <w:szCs w:val="32"/>
        </w:rPr>
        <w:t>。</w:t>
      </w:r>
    </w:p>
    <w:p>
      <w:pPr>
        <w:adjustRightInd w:val="0"/>
        <w:snapToGrid w:val="0"/>
        <w:spacing w:line="56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w:t>
      </w:r>
      <w:r>
        <w:rPr>
          <w:rFonts w:hint="eastAsia" w:ascii="仿宋_GB2312" w:eastAsia="仿宋_GB2312"/>
          <w:sz w:val="32"/>
          <w:szCs w:val="32"/>
          <w:lang w:val="en-US" w:eastAsia="zh-CN"/>
        </w:rPr>
        <w:t>6）术后伤口愈合不良，需修对切口、再次手术以及抗炎止血对症治疗。</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7</w:t>
      </w:r>
      <w:r>
        <w:rPr>
          <w:rFonts w:hint="eastAsia" w:ascii="仿宋_GB2312" w:eastAsia="仿宋_GB2312"/>
          <w:sz w:val="32"/>
          <w:szCs w:val="32"/>
        </w:rPr>
        <w:t>）术后继发性大出血的处理。</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w:t>
      </w:r>
      <w:r>
        <w:rPr>
          <w:rFonts w:hint="eastAsia" w:ascii="仿宋_GB2312" w:eastAsia="仿宋_GB2312"/>
          <w:sz w:val="32"/>
          <w:szCs w:val="32"/>
          <w:lang w:val="en-US" w:eastAsia="zh-CN"/>
        </w:rPr>
        <w:t>8</w:t>
      </w:r>
      <w:r>
        <w:rPr>
          <w:rFonts w:hint="eastAsia" w:ascii="仿宋_GB2312" w:eastAsia="仿宋_GB2312"/>
          <w:sz w:val="32"/>
          <w:szCs w:val="32"/>
        </w:rPr>
        <w:t>）其他情况处理：呕吐、发热、头痛等，对症处理。</w:t>
      </w:r>
    </w:p>
    <w:p>
      <w:pPr>
        <w:adjustRightInd w:val="0"/>
        <w:snapToGrid w:val="0"/>
        <w:spacing w:line="560" w:lineRule="exact"/>
        <w:ind w:firstLine="640" w:firstLineChars="200"/>
        <w:rPr>
          <w:rFonts w:ascii="楷体_GB2312" w:eastAsia="楷体_GB2312"/>
          <w:sz w:val="32"/>
          <w:szCs w:val="32"/>
        </w:rPr>
      </w:pPr>
      <w:r>
        <w:rPr>
          <w:rFonts w:hint="eastAsia" w:ascii="楷体_GB2312" w:eastAsia="楷体_GB2312"/>
          <w:sz w:val="32"/>
          <w:szCs w:val="32"/>
        </w:rPr>
        <w:t>（十）出院标准。</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1.患者一般情况良好，正常饮食，排便顺畅，无明显排便时肛门疼痛，各项实验室检查结果正常，体温正常。</w:t>
      </w:r>
    </w:p>
    <w:p>
      <w:pPr>
        <w:adjustRightInd w:val="0"/>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eastAsia="zh-CN"/>
        </w:rPr>
        <w:t>伤口痊愈：</w:t>
      </w:r>
      <w:r>
        <w:rPr>
          <w:rFonts w:hint="eastAsia" w:ascii="仿宋_GB2312" w:eastAsia="仿宋_GB2312"/>
          <w:sz w:val="32"/>
          <w:szCs w:val="32"/>
        </w:rPr>
        <w:t>肛门</w:t>
      </w:r>
      <w:r>
        <w:rPr>
          <w:rFonts w:hint="eastAsia" w:ascii="仿宋_GB2312" w:eastAsia="仿宋_GB2312"/>
          <w:sz w:val="32"/>
          <w:szCs w:val="32"/>
          <w:lang w:eastAsia="zh-CN"/>
        </w:rPr>
        <w:t>检查</w:t>
      </w:r>
      <w:r>
        <w:rPr>
          <w:rFonts w:hint="eastAsia" w:ascii="仿宋_GB2312" w:eastAsia="仿宋_GB2312"/>
          <w:sz w:val="32"/>
          <w:szCs w:val="32"/>
        </w:rPr>
        <w:t>创面</w:t>
      </w:r>
      <w:r>
        <w:rPr>
          <w:rFonts w:hint="eastAsia" w:ascii="仿宋_GB2312" w:eastAsia="仿宋_GB2312"/>
          <w:sz w:val="32"/>
          <w:szCs w:val="32"/>
          <w:lang w:eastAsia="zh-CN"/>
        </w:rPr>
        <w:t>痊愈，局部</w:t>
      </w:r>
      <w:r>
        <w:rPr>
          <w:rFonts w:hint="eastAsia" w:ascii="仿宋_GB2312" w:eastAsia="仿宋_GB2312"/>
          <w:sz w:val="32"/>
          <w:szCs w:val="32"/>
        </w:rPr>
        <w:t>无异常分泌物，无水肿、出血。</w:t>
      </w:r>
    </w:p>
    <w:p>
      <w:pPr>
        <w:adjustRightInd w:val="0"/>
        <w:snapToGrid w:val="0"/>
        <w:spacing w:line="560" w:lineRule="exact"/>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3.肛管直肠压力测定，了解术后肛门功能情况；生物反馈治疗促进肛门功能恢复。</w:t>
      </w:r>
    </w:p>
    <w:p>
      <w:pPr>
        <w:adjustRightInd w:val="0"/>
        <w:snapToGrid w:val="0"/>
        <w:spacing w:line="560" w:lineRule="exact"/>
        <w:ind w:firstLine="640" w:firstLineChars="200"/>
        <w:rPr>
          <w:rFonts w:ascii="楷体_GB2312" w:eastAsia="楷体_GB2312"/>
          <w:sz w:val="32"/>
          <w:szCs w:val="32"/>
        </w:rPr>
      </w:pPr>
      <w:r>
        <w:rPr>
          <w:rFonts w:hint="eastAsia" w:ascii="楷体_GB2312" w:eastAsia="楷体_GB2312"/>
          <w:sz w:val="32"/>
          <w:szCs w:val="32"/>
        </w:rPr>
        <w:t>（十一）变异及原因分析。</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sz w:val="32"/>
          <w:szCs w:val="32"/>
        </w:rPr>
        <w:t>1.手术后出现继发切口感染或持续性大出血等并发症时，导致住院时间延长与费用增加。</w:t>
      </w:r>
    </w:p>
    <w:p>
      <w:pPr>
        <w:adjustRightInd w:val="0"/>
        <w:snapToGrid w:val="0"/>
        <w:spacing w:line="560" w:lineRule="exact"/>
        <w:ind w:firstLine="640" w:firstLineChars="200"/>
        <w:rPr>
          <w:rFonts w:hint="eastAsia" w:ascii="仿宋_GB2312" w:eastAsia="仿宋_GB2312"/>
          <w:sz w:val="32"/>
          <w:szCs w:val="32"/>
        </w:rPr>
      </w:pPr>
      <w:r>
        <w:rPr>
          <w:rFonts w:hint="eastAsia" w:ascii="仿宋_GB2312" w:eastAsia="仿宋_GB2312"/>
          <w:sz w:val="32"/>
          <w:szCs w:val="32"/>
        </w:rPr>
        <w:t>2.伴发其他基础疾病需要进一步明确诊断，导致住院时间延长与费用增加。</w:t>
      </w:r>
    </w:p>
    <w:p>
      <w:pPr>
        <w:adjustRightInd w:val="0"/>
        <w:snapToGrid w:val="0"/>
        <w:spacing w:line="560" w:lineRule="exact"/>
        <w:ind w:firstLine="640" w:firstLineChars="200"/>
        <w:rPr>
          <w:rFonts w:hint="eastAsia" w:ascii="仿宋_GB2312" w:eastAsia="仿宋_GB2312"/>
          <w:sz w:val="32"/>
          <w:szCs w:val="32"/>
        </w:rPr>
      </w:pPr>
    </w:p>
    <w:p>
      <w:pPr>
        <w:adjustRightInd w:val="0"/>
        <w:snapToGrid w:val="0"/>
        <w:spacing w:line="560" w:lineRule="exact"/>
        <w:ind w:firstLine="640" w:firstLineChars="200"/>
        <w:rPr>
          <w:rFonts w:hint="eastAsia" w:ascii="仿宋_GB2312" w:eastAsia="仿宋_GB2312"/>
          <w:sz w:val="32"/>
          <w:szCs w:val="32"/>
        </w:rPr>
      </w:pPr>
    </w:p>
    <w:p>
      <w:pPr>
        <w:adjustRightInd w:val="0"/>
        <w:snapToGrid w:val="0"/>
        <w:ind w:firstLine="480" w:firstLineChars="200"/>
        <w:rPr>
          <w:rFonts w:eastAsia="仿宋_GB2312"/>
          <w:b/>
          <w:sz w:val="24"/>
        </w:rPr>
      </w:pPr>
    </w:p>
    <w:p>
      <w:pPr>
        <w:adjustRightInd w:val="0"/>
        <w:snapToGrid w:val="0"/>
        <w:ind w:firstLine="640" w:firstLineChars="200"/>
        <w:rPr>
          <w:rFonts w:eastAsia="仿宋_GB2312"/>
          <w:b/>
          <w:sz w:val="24"/>
        </w:rPr>
      </w:pPr>
      <w:r>
        <w:rPr>
          <w:rFonts w:hint="eastAsia" w:ascii="黑体" w:hAnsi="宋体" w:eastAsia="黑体"/>
          <w:sz w:val="32"/>
          <w:szCs w:val="32"/>
        </w:rPr>
        <w:t>二、</w:t>
      </w:r>
      <w:r>
        <w:rPr>
          <w:rFonts w:hint="eastAsia" w:ascii="黑体" w:hAnsi="宋体" w:eastAsia="黑体"/>
          <w:sz w:val="32"/>
          <w:szCs w:val="32"/>
          <w:lang w:eastAsia="zh-CN"/>
        </w:rPr>
        <w:t>肛裂</w:t>
      </w:r>
      <w:r>
        <w:rPr>
          <w:rFonts w:hint="eastAsia" w:ascii="黑体" w:hAnsi="宋体" w:eastAsia="黑体"/>
          <w:sz w:val="32"/>
          <w:szCs w:val="32"/>
        </w:rPr>
        <w:t>临床路径表单</w:t>
      </w:r>
    </w:p>
    <w:p>
      <w:pPr>
        <w:adjustRightInd w:val="0"/>
        <w:snapToGrid w:val="0"/>
        <w:spacing w:before="156" w:beforeLines="50"/>
        <w:rPr>
          <w:rFonts w:ascii="宋体" w:hAnsi="宋体"/>
          <w:szCs w:val="21"/>
        </w:rPr>
      </w:pPr>
      <w:r>
        <w:rPr>
          <w:rFonts w:hint="eastAsia" w:ascii="宋体" w:hAnsi="宋体"/>
          <w:szCs w:val="21"/>
        </w:rPr>
        <w:t>适用对象：</w:t>
      </w:r>
      <w:r>
        <w:rPr>
          <w:rFonts w:hint="eastAsia" w:ascii="宋体" w:hAnsi="宋体"/>
          <w:b/>
          <w:szCs w:val="21"/>
        </w:rPr>
        <w:t>第一诊断为</w:t>
      </w:r>
      <w:r>
        <w:rPr>
          <w:rFonts w:hint="eastAsia" w:ascii="宋体" w:hAnsi="宋体"/>
          <w:b/>
          <w:szCs w:val="21"/>
          <w:lang w:eastAsia="zh-CN"/>
        </w:rPr>
        <w:t>肛裂</w:t>
      </w:r>
      <w:r>
        <w:rPr>
          <w:rFonts w:hint="eastAsia" w:ascii="宋体" w:hAnsi="宋体"/>
          <w:szCs w:val="21"/>
        </w:rPr>
        <w:t>（ICD-10：</w:t>
      </w:r>
      <w:r>
        <w:rPr>
          <w:rFonts w:hint="eastAsia" w:ascii="宋体" w:hAnsi="宋体"/>
          <w:szCs w:val="21"/>
          <w:lang w:val="en-US" w:eastAsia="zh-CN"/>
        </w:rPr>
        <w:t>K60.201</w:t>
      </w:r>
      <w:r>
        <w:rPr>
          <w:rFonts w:ascii="宋体" w:hAnsi="宋体"/>
          <w:szCs w:val="21"/>
        </w:rPr>
        <w:t>）</w:t>
      </w:r>
    </w:p>
    <w:p>
      <w:pPr>
        <w:adjustRightInd w:val="0"/>
        <w:snapToGrid w:val="0"/>
        <w:ind w:firstLine="1050" w:firstLineChars="500"/>
        <w:rPr>
          <w:rFonts w:ascii="宋体" w:hAnsi="宋体"/>
          <w:szCs w:val="21"/>
        </w:rPr>
      </w:pPr>
      <w:r>
        <w:rPr>
          <w:rFonts w:hint="eastAsia" w:ascii="宋体" w:hAnsi="宋体"/>
          <w:b/>
          <w:szCs w:val="21"/>
        </w:rPr>
        <w:t>行</w:t>
      </w:r>
      <w:r>
        <w:rPr>
          <w:rFonts w:hint="eastAsia" w:ascii="宋体" w:hAnsi="宋体"/>
          <w:b/>
          <w:szCs w:val="21"/>
          <w:lang w:eastAsia="zh-CN"/>
        </w:rPr>
        <w:t>肛裂切除术</w:t>
      </w:r>
      <w:r>
        <w:rPr>
          <w:rFonts w:hint="eastAsia" w:ascii="宋体" w:hAnsi="宋体"/>
          <w:szCs w:val="21"/>
          <w:lang w:eastAsia="zh-CN"/>
        </w:rPr>
        <w:t>（</w:t>
      </w:r>
      <w:r>
        <w:rPr>
          <w:rFonts w:hint="eastAsia" w:ascii="宋体" w:hAnsi="宋体"/>
          <w:szCs w:val="21"/>
        </w:rPr>
        <w:t>ICD-9-CM-3：</w:t>
      </w:r>
      <w:r>
        <w:rPr>
          <w:rFonts w:hint="eastAsia" w:ascii="宋体" w:hAnsi="宋体"/>
          <w:szCs w:val="21"/>
          <w:lang w:val="en-US" w:eastAsia="zh-CN"/>
        </w:rPr>
        <w:t>49.3901）</w:t>
      </w:r>
      <w:r>
        <w:rPr>
          <w:rFonts w:hint="eastAsia" w:ascii="宋体" w:hAnsi="宋体"/>
          <w:b/>
          <w:szCs w:val="21"/>
          <w:lang w:eastAsia="zh-CN"/>
        </w:rPr>
        <w:t>、肛门内括约肌侧切术</w:t>
      </w:r>
      <w:r>
        <w:rPr>
          <w:rFonts w:hint="eastAsia" w:ascii="宋体" w:hAnsi="宋体"/>
          <w:szCs w:val="21"/>
          <w:lang w:eastAsia="zh-CN"/>
        </w:rPr>
        <w:t>（</w:t>
      </w:r>
      <w:r>
        <w:rPr>
          <w:rFonts w:hint="eastAsia" w:ascii="宋体" w:hAnsi="宋体"/>
          <w:szCs w:val="21"/>
        </w:rPr>
        <w:t>ICD-9-CM-3：</w:t>
      </w:r>
      <w:r>
        <w:rPr>
          <w:rFonts w:hint="eastAsia" w:ascii="宋体" w:hAnsi="宋体"/>
          <w:szCs w:val="21"/>
          <w:lang w:val="en-US" w:eastAsia="zh-CN"/>
        </w:rPr>
        <w:t>49.5906</w:t>
      </w:r>
      <w:r>
        <w:rPr>
          <w:rFonts w:hint="eastAsia" w:ascii="宋体" w:hAnsi="宋体"/>
          <w:szCs w:val="21"/>
          <w:lang w:eastAsia="zh-CN"/>
        </w:rPr>
        <w:t>）</w:t>
      </w:r>
      <w:r>
        <w:rPr>
          <w:rFonts w:hint="eastAsia" w:ascii="宋体" w:hAnsi="宋体"/>
          <w:b/>
          <w:szCs w:val="21"/>
          <w:lang w:eastAsia="zh-CN"/>
        </w:rPr>
        <w:t>、手术扩肛治疗</w:t>
      </w:r>
      <w:r>
        <w:rPr>
          <w:rFonts w:hint="eastAsia" w:ascii="宋体" w:hAnsi="宋体"/>
          <w:szCs w:val="21"/>
          <w:lang w:val="en-US" w:eastAsia="zh-CN"/>
        </w:rPr>
        <w:t>（</w:t>
      </w:r>
      <w:r>
        <w:rPr>
          <w:rFonts w:hint="eastAsia" w:ascii="宋体" w:hAnsi="宋体"/>
          <w:szCs w:val="21"/>
        </w:rPr>
        <w:t>ICD-9-CM-3：</w:t>
      </w:r>
      <w:r>
        <w:rPr>
          <w:rFonts w:hint="eastAsia" w:ascii="宋体" w:hAnsi="宋体"/>
          <w:szCs w:val="21"/>
          <w:lang w:val="en-US" w:eastAsia="zh-CN"/>
        </w:rPr>
        <w:t>49.9906）</w:t>
      </w:r>
    </w:p>
    <w:p>
      <w:pPr>
        <w:adjustRightInd w:val="0"/>
        <w:snapToGrid w:val="0"/>
        <w:rPr>
          <w:rFonts w:ascii="宋体" w:hAnsi="宋体"/>
          <w:szCs w:val="21"/>
          <w:u w:val="single"/>
        </w:rPr>
      </w:pPr>
      <w:r>
        <w:rPr>
          <w:rFonts w:hint="eastAsia" w:ascii="宋体" w:hAnsi="宋体"/>
          <w:szCs w:val="21"/>
        </w:rPr>
        <w:t>患者姓名：</w:t>
      </w:r>
      <w:r>
        <w:rPr>
          <w:rFonts w:ascii="宋体" w:hAnsi="宋体"/>
          <w:szCs w:val="21"/>
          <w:u w:val="single"/>
        </w:rPr>
        <w:t xml:space="preserve">           </w:t>
      </w:r>
      <w:r>
        <w:rPr>
          <w:rFonts w:hint="eastAsia" w:ascii="宋体" w:hAnsi="宋体"/>
          <w:szCs w:val="21"/>
        </w:rPr>
        <w:t>性别：</w:t>
      </w:r>
      <w:r>
        <w:rPr>
          <w:rFonts w:ascii="宋体" w:hAnsi="宋体"/>
          <w:szCs w:val="21"/>
          <w:u w:val="single"/>
        </w:rPr>
        <w:t xml:space="preserve">    </w:t>
      </w:r>
      <w:r>
        <w:rPr>
          <w:rFonts w:hint="eastAsia" w:ascii="宋体" w:hAnsi="宋体"/>
          <w:szCs w:val="21"/>
        </w:rPr>
        <w:t>年龄：</w:t>
      </w:r>
      <w:r>
        <w:rPr>
          <w:rFonts w:ascii="宋体" w:hAnsi="宋体"/>
          <w:szCs w:val="21"/>
          <w:u w:val="single"/>
        </w:rPr>
        <w:t xml:space="preserve">    </w:t>
      </w:r>
      <w:r>
        <w:rPr>
          <w:rFonts w:hint="eastAsia" w:ascii="宋体" w:hAnsi="宋体"/>
          <w:szCs w:val="21"/>
        </w:rPr>
        <w:t>门诊号：</w:t>
      </w:r>
      <w:r>
        <w:rPr>
          <w:rFonts w:ascii="宋体" w:hAnsi="宋体"/>
          <w:szCs w:val="21"/>
          <w:u w:val="single"/>
        </w:rPr>
        <w:t xml:space="preserve">       </w:t>
      </w:r>
      <w:r>
        <w:rPr>
          <w:rFonts w:hint="eastAsia" w:ascii="宋体" w:hAnsi="宋体"/>
          <w:szCs w:val="21"/>
        </w:rPr>
        <w:t>住院号：</w:t>
      </w:r>
      <w:r>
        <w:rPr>
          <w:rFonts w:ascii="宋体" w:hAnsi="宋体"/>
          <w:szCs w:val="21"/>
          <w:u w:val="single"/>
        </w:rPr>
        <w:t xml:space="preserve">      </w:t>
      </w:r>
    </w:p>
    <w:p>
      <w:pPr>
        <w:adjustRightInd w:val="0"/>
        <w:snapToGrid w:val="0"/>
        <w:rPr>
          <w:rFonts w:ascii="宋体" w:hAnsi="宋体"/>
          <w:szCs w:val="21"/>
        </w:rPr>
      </w:pPr>
      <w:r>
        <w:rPr>
          <w:rFonts w:hint="eastAsia" w:ascii="宋体" w:hAnsi="宋体"/>
          <w:szCs w:val="21"/>
        </w:rPr>
        <w:t>住院日期：</w:t>
      </w:r>
      <w:r>
        <w:rPr>
          <w:rFonts w:ascii="宋体" w:hAnsi="宋体"/>
          <w:szCs w:val="21"/>
          <w:u w:val="single"/>
        </w:rPr>
        <w:t xml:space="preserve">   </w:t>
      </w:r>
      <w:r>
        <w:rPr>
          <w:rFonts w:hint="eastAsia" w:ascii="宋体" w:hAnsi="宋体"/>
          <w:szCs w:val="21"/>
        </w:rPr>
        <w:t>年</w:t>
      </w:r>
      <w:r>
        <w:rPr>
          <w:rFonts w:ascii="宋体" w:hAnsi="宋体"/>
          <w:szCs w:val="21"/>
          <w:u w:val="single"/>
        </w:rPr>
        <w:t xml:space="preserve">  </w:t>
      </w:r>
      <w:r>
        <w:rPr>
          <w:rFonts w:hint="eastAsia" w:ascii="宋体" w:hAnsi="宋体"/>
          <w:szCs w:val="21"/>
        </w:rPr>
        <w:t>月</w:t>
      </w:r>
      <w:r>
        <w:rPr>
          <w:rFonts w:ascii="宋体" w:hAnsi="宋体"/>
          <w:szCs w:val="21"/>
          <w:u w:val="single"/>
        </w:rPr>
        <w:t xml:space="preserve">  </w:t>
      </w:r>
      <w:r>
        <w:rPr>
          <w:rFonts w:hint="eastAsia" w:ascii="宋体" w:hAnsi="宋体"/>
          <w:szCs w:val="21"/>
        </w:rPr>
        <w:t>日</w:t>
      </w:r>
      <w:r>
        <w:rPr>
          <w:rFonts w:ascii="宋体" w:hAnsi="宋体"/>
          <w:szCs w:val="21"/>
        </w:rPr>
        <w:t xml:space="preserve">    出院日期：</w:t>
      </w:r>
      <w:r>
        <w:rPr>
          <w:rFonts w:ascii="宋体" w:hAnsi="宋体"/>
          <w:szCs w:val="21"/>
          <w:u w:val="single"/>
        </w:rPr>
        <w:t xml:space="preserve">   </w:t>
      </w:r>
      <w:r>
        <w:rPr>
          <w:rFonts w:ascii="宋体" w:hAnsi="宋体"/>
          <w:szCs w:val="21"/>
        </w:rPr>
        <w:t>年</w:t>
      </w:r>
      <w:r>
        <w:rPr>
          <w:rFonts w:ascii="宋体" w:hAnsi="宋体"/>
          <w:szCs w:val="21"/>
          <w:u w:val="single"/>
        </w:rPr>
        <w:t xml:space="preserve">  </w:t>
      </w:r>
      <w:r>
        <w:rPr>
          <w:rFonts w:ascii="宋体" w:hAnsi="宋体"/>
          <w:szCs w:val="21"/>
        </w:rPr>
        <w:t>月</w:t>
      </w:r>
      <w:r>
        <w:rPr>
          <w:rFonts w:ascii="宋体" w:hAnsi="宋体"/>
          <w:szCs w:val="21"/>
          <w:u w:val="single"/>
        </w:rPr>
        <w:t xml:space="preserve">   </w:t>
      </w:r>
      <w:r>
        <w:rPr>
          <w:rFonts w:ascii="宋体" w:hAnsi="宋体"/>
          <w:szCs w:val="21"/>
        </w:rPr>
        <w:t>日     标准住院日：</w:t>
      </w:r>
      <w:r>
        <w:rPr>
          <w:rFonts w:hint="eastAsia" w:ascii="宋体" w:hAnsi="宋体"/>
          <w:szCs w:val="21"/>
          <w:lang w:val="en-US" w:eastAsia="zh-CN"/>
        </w:rPr>
        <w:t>21-30</w:t>
      </w:r>
      <w:r>
        <w:rPr>
          <w:rFonts w:ascii="宋体" w:hAnsi="宋体"/>
          <w:szCs w:val="21"/>
        </w:rPr>
        <w:t>天</w:t>
      </w:r>
    </w:p>
    <w:tbl>
      <w:tblPr>
        <w:tblStyle w:val="3"/>
        <w:tblW w:w="10352" w:type="dxa"/>
        <w:jc w:val="center"/>
        <w:tblInd w:w="36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20"/>
        <w:gridCol w:w="3295"/>
        <w:gridCol w:w="3185"/>
        <w:gridCol w:w="315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97" w:hRule="atLeast"/>
          <w:jc w:val="center"/>
        </w:trPr>
        <w:tc>
          <w:tcPr>
            <w:tcW w:w="720" w:type="dxa"/>
            <w:tcBorders>
              <w:top w:val="double" w:color="auto" w:sz="4" w:space="0"/>
              <w:left w:val="double" w:color="auto" w:sz="4" w:space="0"/>
              <w:bottom w:val="double" w:color="auto" w:sz="4" w:space="0"/>
              <w:right w:val="double" w:color="auto" w:sz="4" w:space="0"/>
            </w:tcBorders>
            <w:vAlign w:val="center"/>
          </w:tcPr>
          <w:p>
            <w:pPr>
              <w:widowControl/>
              <w:adjustRightInd w:val="0"/>
              <w:snapToGrid w:val="0"/>
              <w:jc w:val="center"/>
              <w:rPr>
                <w:rFonts w:eastAsia="黑体"/>
                <w:kern w:val="0"/>
                <w:szCs w:val="21"/>
              </w:rPr>
            </w:pPr>
            <w:r>
              <w:rPr>
                <w:rFonts w:hint="eastAsia" w:eastAsia="黑体"/>
                <w:kern w:val="0"/>
                <w:szCs w:val="21"/>
              </w:rPr>
              <w:t>时间</w:t>
            </w:r>
          </w:p>
        </w:tc>
        <w:tc>
          <w:tcPr>
            <w:tcW w:w="3295" w:type="dxa"/>
            <w:tcBorders>
              <w:top w:val="double" w:color="auto" w:sz="4" w:space="0"/>
              <w:left w:val="double" w:color="auto" w:sz="4" w:space="0"/>
              <w:bottom w:val="double" w:color="auto" w:sz="4" w:space="0"/>
              <w:right w:val="double" w:color="auto" w:sz="4" w:space="0"/>
            </w:tcBorders>
            <w:vAlign w:val="center"/>
          </w:tcPr>
          <w:p>
            <w:pPr>
              <w:widowControl/>
              <w:adjustRightInd w:val="0"/>
              <w:snapToGrid w:val="0"/>
              <w:jc w:val="center"/>
              <w:rPr>
                <w:rFonts w:eastAsia="黑体"/>
                <w:kern w:val="0"/>
                <w:szCs w:val="21"/>
              </w:rPr>
            </w:pPr>
            <w:r>
              <w:rPr>
                <w:rFonts w:hint="eastAsia" w:eastAsia="黑体"/>
                <w:kern w:val="0"/>
                <w:szCs w:val="21"/>
              </w:rPr>
              <w:t>住院第</w:t>
            </w:r>
            <w:r>
              <w:rPr>
                <w:rFonts w:eastAsia="黑体"/>
                <w:kern w:val="0"/>
                <w:szCs w:val="21"/>
              </w:rPr>
              <w:t>1</w:t>
            </w:r>
            <w:r>
              <w:rPr>
                <w:rFonts w:hint="eastAsia" w:eastAsia="黑体"/>
                <w:kern w:val="0"/>
                <w:szCs w:val="21"/>
              </w:rPr>
              <w:t>天</w:t>
            </w:r>
          </w:p>
          <w:p>
            <w:pPr>
              <w:widowControl/>
              <w:adjustRightInd w:val="0"/>
              <w:snapToGrid w:val="0"/>
              <w:jc w:val="center"/>
              <w:rPr>
                <w:rFonts w:eastAsia="黑体"/>
                <w:kern w:val="0"/>
                <w:szCs w:val="21"/>
              </w:rPr>
            </w:pPr>
          </w:p>
        </w:tc>
        <w:tc>
          <w:tcPr>
            <w:tcW w:w="3185" w:type="dxa"/>
            <w:tcBorders>
              <w:top w:val="double" w:color="auto" w:sz="4" w:space="0"/>
              <w:left w:val="double" w:color="auto" w:sz="4" w:space="0"/>
              <w:bottom w:val="double" w:color="auto" w:sz="4" w:space="0"/>
              <w:right w:val="double" w:color="auto" w:sz="4" w:space="0"/>
            </w:tcBorders>
            <w:vAlign w:val="center"/>
          </w:tcPr>
          <w:p>
            <w:pPr>
              <w:widowControl/>
              <w:adjustRightInd w:val="0"/>
              <w:snapToGrid w:val="0"/>
              <w:jc w:val="center"/>
              <w:rPr>
                <w:rFonts w:eastAsia="黑体"/>
                <w:kern w:val="0"/>
                <w:szCs w:val="21"/>
              </w:rPr>
            </w:pPr>
            <w:r>
              <w:rPr>
                <w:rFonts w:hint="eastAsia" w:eastAsia="黑体"/>
                <w:kern w:val="0"/>
                <w:szCs w:val="21"/>
              </w:rPr>
              <w:t>住院第</w:t>
            </w:r>
            <w:r>
              <w:rPr>
                <w:rFonts w:eastAsia="黑体"/>
                <w:kern w:val="0"/>
                <w:szCs w:val="21"/>
              </w:rPr>
              <w:t>2</w:t>
            </w:r>
            <w:r>
              <w:rPr>
                <w:rFonts w:hint="eastAsia" w:eastAsia="黑体"/>
                <w:kern w:val="0"/>
                <w:szCs w:val="21"/>
                <w:lang w:val="en-US" w:eastAsia="zh-CN"/>
              </w:rPr>
              <w:t>-3</w:t>
            </w:r>
            <w:r>
              <w:rPr>
                <w:rFonts w:hint="eastAsia" w:eastAsia="黑体"/>
                <w:kern w:val="0"/>
                <w:szCs w:val="21"/>
              </w:rPr>
              <w:t>天</w:t>
            </w:r>
          </w:p>
          <w:p>
            <w:pPr>
              <w:widowControl/>
              <w:adjustRightInd w:val="0"/>
              <w:snapToGrid w:val="0"/>
              <w:jc w:val="center"/>
              <w:rPr>
                <w:rFonts w:eastAsia="黑体"/>
                <w:kern w:val="0"/>
                <w:szCs w:val="21"/>
              </w:rPr>
            </w:pPr>
            <w:r>
              <w:rPr>
                <w:rFonts w:hint="eastAsia" w:eastAsia="黑体"/>
                <w:kern w:val="0"/>
                <w:szCs w:val="21"/>
              </w:rPr>
              <w:t>（</w:t>
            </w:r>
            <w:r>
              <w:rPr>
                <w:rFonts w:hint="eastAsia" w:eastAsia="黑体"/>
                <w:szCs w:val="21"/>
              </w:rPr>
              <w:t>术后第</w:t>
            </w:r>
            <w:r>
              <w:rPr>
                <w:rFonts w:eastAsia="黑体"/>
                <w:szCs w:val="21"/>
              </w:rPr>
              <w:t>1</w:t>
            </w:r>
            <w:r>
              <w:rPr>
                <w:rFonts w:hint="eastAsia" w:eastAsia="黑体"/>
                <w:szCs w:val="21"/>
              </w:rPr>
              <w:t>天</w:t>
            </w:r>
            <w:r>
              <w:rPr>
                <w:rFonts w:hint="eastAsia" w:eastAsia="黑体"/>
                <w:kern w:val="0"/>
                <w:szCs w:val="21"/>
              </w:rPr>
              <w:t>）</w:t>
            </w:r>
          </w:p>
        </w:tc>
        <w:tc>
          <w:tcPr>
            <w:tcW w:w="3152" w:type="dxa"/>
            <w:tcBorders>
              <w:top w:val="double" w:color="auto" w:sz="4" w:space="0"/>
              <w:left w:val="double" w:color="auto" w:sz="4" w:space="0"/>
              <w:bottom w:val="double" w:color="auto" w:sz="4" w:space="0"/>
              <w:right w:val="double" w:color="auto" w:sz="4" w:space="0"/>
            </w:tcBorders>
            <w:vAlign w:val="center"/>
          </w:tcPr>
          <w:p>
            <w:pPr>
              <w:widowControl/>
              <w:adjustRightInd w:val="0"/>
              <w:snapToGrid w:val="0"/>
              <w:jc w:val="center"/>
              <w:rPr>
                <w:rFonts w:eastAsia="黑体"/>
                <w:kern w:val="0"/>
                <w:szCs w:val="21"/>
              </w:rPr>
            </w:pPr>
            <w:r>
              <w:rPr>
                <w:rFonts w:hint="eastAsia" w:eastAsia="黑体"/>
                <w:kern w:val="0"/>
                <w:szCs w:val="21"/>
              </w:rPr>
              <w:t>住院第</w:t>
            </w:r>
            <w:r>
              <w:rPr>
                <w:rFonts w:hint="eastAsia" w:eastAsia="黑体"/>
                <w:kern w:val="0"/>
                <w:szCs w:val="21"/>
                <w:lang w:val="en-US" w:eastAsia="zh-CN"/>
              </w:rPr>
              <w:t>21-30</w:t>
            </w:r>
            <w:r>
              <w:rPr>
                <w:rFonts w:hint="eastAsia" w:eastAsia="黑体"/>
                <w:kern w:val="0"/>
                <w:szCs w:val="21"/>
              </w:rPr>
              <w:t>天</w:t>
            </w:r>
          </w:p>
          <w:p>
            <w:pPr>
              <w:widowControl/>
              <w:adjustRightInd w:val="0"/>
              <w:snapToGrid w:val="0"/>
              <w:jc w:val="center"/>
              <w:rPr>
                <w:rFonts w:eastAsia="黑体"/>
                <w:kern w:val="0"/>
                <w:szCs w:val="21"/>
              </w:rPr>
            </w:pPr>
            <w:r>
              <w:rPr>
                <w:rFonts w:hint="eastAsia" w:eastAsia="黑体"/>
                <w:kern w:val="0"/>
                <w:szCs w:val="21"/>
              </w:rPr>
              <w:t>（</w:t>
            </w:r>
            <w:r>
              <w:rPr>
                <w:rFonts w:hint="eastAsia" w:eastAsia="黑体"/>
                <w:szCs w:val="21"/>
              </w:rPr>
              <w:t>出院日</w:t>
            </w:r>
            <w:r>
              <w:rPr>
                <w:rFonts w:hint="eastAsia" w:eastAsia="黑体"/>
                <w:kern w:val="0"/>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1238" w:hRule="atLeast"/>
          <w:jc w:val="center"/>
        </w:trPr>
        <w:tc>
          <w:tcPr>
            <w:tcW w:w="720" w:type="dxa"/>
            <w:tcBorders>
              <w:top w:val="double" w:color="auto" w:sz="4"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主</w:t>
            </w:r>
          </w:p>
          <w:p>
            <w:pPr>
              <w:widowControl/>
              <w:jc w:val="center"/>
              <w:rPr>
                <w:rFonts w:eastAsia="黑体"/>
                <w:kern w:val="0"/>
                <w:szCs w:val="21"/>
              </w:rPr>
            </w:pPr>
            <w:r>
              <w:rPr>
                <w:rFonts w:hint="eastAsia" w:eastAsia="黑体"/>
                <w:kern w:val="0"/>
                <w:szCs w:val="21"/>
              </w:rPr>
              <w:t>要</w:t>
            </w:r>
          </w:p>
          <w:p>
            <w:pPr>
              <w:widowControl/>
              <w:jc w:val="center"/>
              <w:rPr>
                <w:rFonts w:eastAsia="黑体"/>
                <w:kern w:val="0"/>
                <w:szCs w:val="21"/>
              </w:rPr>
            </w:pPr>
            <w:r>
              <w:rPr>
                <w:rFonts w:hint="eastAsia" w:eastAsia="黑体"/>
                <w:kern w:val="0"/>
                <w:szCs w:val="21"/>
              </w:rPr>
              <w:t>诊</w:t>
            </w:r>
          </w:p>
          <w:p>
            <w:pPr>
              <w:widowControl/>
              <w:jc w:val="center"/>
              <w:rPr>
                <w:rFonts w:eastAsia="黑体"/>
                <w:kern w:val="0"/>
                <w:szCs w:val="21"/>
              </w:rPr>
            </w:pPr>
            <w:r>
              <w:rPr>
                <w:rFonts w:hint="eastAsia" w:eastAsia="黑体"/>
                <w:kern w:val="0"/>
                <w:szCs w:val="21"/>
              </w:rPr>
              <w:t>疗</w:t>
            </w:r>
          </w:p>
          <w:p>
            <w:pPr>
              <w:widowControl/>
              <w:jc w:val="center"/>
              <w:rPr>
                <w:rFonts w:eastAsia="黑体"/>
                <w:kern w:val="0"/>
                <w:szCs w:val="21"/>
              </w:rPr>
            </w:pPr>
            <w:r>
              <w:rPr>
                <w:rFonts w:hint="eastAsia" w:eastAsia="黑体"/>
                <w:kern w:val="0"/>
                <w:szCs w:val="21"/>
              </w:rPr>
              <w:t>工</w:t>
            </w:r>
          </w:p>
          <w:p>
            <w:pPr>
              <w:widowControl/>
              <w:jc w:val="center"/>
              <w:rPr>
                <w:rFonts w:eastAsia="黑体"/>
                <w:kern w:val="0"/>
                <w:szCs w:val="21"/>
              </w:rPr>
            </w:pPr>
            <w:r>
              <w:rPr>
                <w:rFonts w:hint="eastAsia" w:eastAsia="黑体"/>
                <w:kern w:val="0"/>
                <w:szCs w:val="21"/>
              </w:rPr>
              <w:t>作</w:t>
            </w:r>
          </w:p>
        </w:tc>
        <w:tc>
          <w:tcPr>
            <w:tcW w:w="3295" w:type="dxa"/>
            <w:tcBorders>
              <w:top w:val="double" w:color="auto" w:sz="4" w:space="0"/>
              <w:left w:val="single" w:color="auto" w:sz="8" w:space="0"/>
              <w:bottom w:val="single" w:color="auto" w:sz="8" w:space="0"/>
              <w:right w:val="single" w:color="auto" w:sz="8" w:space="0"/>
            </w:tcBorders>
            <w:vAlign w:val="top"/>
          </w:tcPr>
          <w:p>
            <w:pPr>
              <w:numPr>
                <w:ilvl w:val="0"/>
                <w:numId w:val="2"/>
              </w:numPr>
              <w:rPr>
                <w:color w:val="000000"/>
                <w:szCs w:val="21"/>
              </w:rPr>
            </w:pPr>
            <w:r>
              <w:rPr>
                <w:rFonts w:hint="eastAsia" w:hAnsi="宋体"/>
                <w:szCs w:val="21"/>
              </w:rPr>
              <w:t>病史询问，体格检查，完善病历</w:t>
            </w:r>
          </w:p>
          <w:p>
            <w:pPr>
              <w:numPr>
                <w:ilvl w:val="0"/>
                <w:numId w:val="2"/>
              </w:numPr>
              <w:rPr>
                <w:color w:val="000000"/>
                <w:szCs w:val="21"/>
              </w:rPr>
            </w:pPr>
            <w:r>
              <w:rPr>
                <w:rFonts w:hint="eastAsia" w:hAnsi="宋体"/>
                <w:szCs w:val="21"/>
              </w:rPr>
              <w:t>进行相关检查</w:t>
            </w:r>
          </w:p>
          <w:p>
            <w:pPr>
              <w:numPr>
                <w:ilvl w:val="0"/>
                <w:numId w:val="2"/>
              </w:numPr>
              <w:rPr>
                <w:color w:val="000000"/>
                <w:szCs w:val="21"/>
              </w:rPr>
            </w:pPr>
            <w:r>
              <w:rPr>
                <w:rFonts w:hint="eastAsia" w:hAnsi="宋体"/>
                <w:szCs w:val="21"/>
              </w:rPr>
              <w:t>完成病历</w:t>
            </w:r>
          </w:p>
          <w:p>
            <w:pPr>
              <w:numPr>
                <w:ilvl w:val="0"/>
                <w:numId w:val="2"/>
              </w:numPr>
              <w:rPr>
                <w:color w:val="000000"/>
                <w:szCs w:val="21"/>
              </w:rPr>
            </w:pPr>
            <w:r>
              <w:rPr>
                <w:rFonts w:hint="eastAsia" w:hAnsi="宋体"/>
                <w:szCs w:val="21"/>
              </w:rPr>
              <w:t>上级医师查看患者</w:t>
            </w:r>
            <w:r>
              <w:rPr>
                <w:rFonts w:hint="eastAsia"/>
                <w:szCs w:val="21"/>
              </w:rPr>
              <w:t>，</w:t>
            </w:r>
            <w:r>
              <w:rPr>
                <w:rFonts w:hint="eastAsia" w:hAnsi="宋体"/>
                <w:szCs w:val="21"/>
              </w:rPr>
              <w:t>制订治疗方案</w:t>
            </w:r>
          </w:p>
          <w:p>
            <w:pPr>
              <w:numPr>
                <w:ilvl w:val="0"/>
                <w:numId w:val="2"/>
              </w:numPr>
              <w:rPr>
                <w:color w:val="000000"/>
                <w:szCs w:val="21"/>
              </w:rPr>
            </w:pPr>
            <w:r>
              <w:rPr>
                <w:rFonts w:hint="eastAsia" w:hAnsi="宋体"/>
                <w:szCs w:val="21"/>
              </w:rPr>
              <w:t>医患沟通，签署手术知情同意书，通知手术室</w:t>
            </w:r>
          </w:p>
          <w:p>
            <w:pPr>
              <w:numPr>
                <w:ilvl w:val="0"/>
                <w:numId w:val="2"/>
              </w:numPr>
              <w:rPr>
                <w:color w:val="000000"/>
                <w:szCs w:val="21"/>
              </w:rPr>
            </w:pPr>
            <w:r>
              <w:rPr>
                <w:rFonts w:hint="eastAsia"/>
                <w:color w:val="000000"/>
                <w:szCs w:val="21"/>
                <w:lang w:eastAsia="zh-CN"/>
              </w:rPr>
              <w:t>对高龄合并较重内科疾病患者组织全科讨论</w:t>
            </w:r>
          </w:p>
        </w:tc>
        <w:tc>
          <w:tcPr>
            <w:tcW w:w="3185" w:type="dxa"/>
            <w:tcBorders>
              <w:top w:val="double" w:color="auto" w:sz="4" w:space="0"/>
              <w:left w:val="single" w:color="auto" w:sz="8" w:space="0"/>
              <w:bottom w:val="single" w:color="auto" w:sz="8" w:space="0"/>
              <w:right w:val="single" w:color="auto" w:sz="8" w:space="0"/>
            </w:tcBorders>
            <w:vAlign w:val="top"/>
          </w:tcPr>
          <w:p>
            <w:pPr>
              <w:numPr>
                <w:ilvl w:val="0"/>
                <w:numId w:val="2"/>
              </w:numPr>
              <w:rPr>
                <w:szCs w:val="21"/>
              </w:rPr>
            </w:pPr>
            <w:r>
              <w:rPr>
                <w:rFonts w:hint="eastAsia" w:hAnsi="宋体"/>
                <w:szCs w:val="21"/>
              </w:rPr>
              <w:t>上级医师查房</w:t>
            </w:r>
          </w:p>
          <w:p>
            <w:pPr>
              <w:numPr>
                <w:ilvl w:val="0"/>
                <w:numId w:val="2"/>
              </w:numPr>
              <w:rPr>
                <w:rFonts w:hint="eastAsia"/>
                <w:szCs w:val="21"/>
              </w:rPr>
            </w:pPr>
            <w:r>
              <w:rPr>
                <w:rFonts w:hint="eastAsia" w:hAnsi="宋体"/>
                <w:szCs w:val="21"/>
              </w:rPr>
              <w:t>评估辅助检查结果</w:t>
            </w:r>
          </w:p>
          <w:p>
            <w:pPr>
              <w:numPr>
                <w:ilvl w:val="0"/>
                <w:numId w:val="2"/>
              </w:numPr>
              <w:rPr>
                <w:szCs w:val="21"/>
              </w:rPr>
            </w:pPr>
            <w:r>
              <w:rPr>
                <w:rFonts w:hint="eastAsia" w:hAnsi="宋体"/>
                <w:szCs w:val="21"/>
              </w:rPr>
              <w:t>予以手术</w:t>
            </w:r>
          </w:p>
          <w:p>
            <w:pPr>
              <w:numPr>
                <w:ilvl w:val="0"/>
                <w:numId w:val="2"/>
              </w:numPr>
              <w:rPr>
                <w:rFonts w:hint="eastAsia"/>
                <w:szCs w:val="21"/>
              </w:rPr>
            </w:pPr>
            <w:r>
              <w:rPr>
                <w:rFonts w:hint="eastAsia" w:hAnsi="宋体"/>
                <w:szCs w:val="21"/>
              </w:rPr>
              <w:t>观察术后病情：排便情况、有无便血、切口情况（分泌物、水肿等）</w:t>
            </w:r>
          </w:p>
          <w:p>
            <w:pPr>
              <w:numPr>
                <w:ilvl w:val="0"/>
                <w:numId w:val="2"/>
              </w:numPr>
              <w:rPr>
                <w:szCs w:val="21"/>
              </w:rPr>
            </w:pPr>
            <w:r>
              <w:rPr>
                <w:rFonts w:hint="eastAsia" w:hAnsi="宋体"/>
                <w:szCs w:val="21"/>
              </w:rPr>
              <w:t>手术</w:t>
            </w:r>
            <w:r>
              <w:rPr>
                <w:szCs w:val="21"/>
              </w:rPr>
              <w:t>24</w:t>
            </w:r>
            <w:r>
              <w:rPr>
                <w:rFonts w:hint="eastAsia" w:hAnsi="宋体"/>
                <w:szCs w:val="21"/>
              </w:rPr>
              <w:t>小时内完成手术记录、术后首次病程记录</w:t>
            </w:r>
          </w:p>
          <w:p>
            <w:pPr>
              <w:numPr>
                <w:ilvl w:val="0"/>
                <w:numId w:val="2"/>
              </w:numPr>
              <w:rPr>
                <w:rFonts w:hint="eastAsia"/>
                <w:szCs w:val="21"/>
              </w:rPr>
            </w:pPr>
            <w:r>
              <w:rPr>
                <w:rFonts w:hint="eastAsia" w:hAnsi="宋体"/>
                <w:szCs w:val="21"/>
              </w:rPr>
              <w:t>解大便后</w:t>
            </w:r>
            <w:r>
              <w:rPr>
                <w:rFonts w:hint="eastAsia" w:hAnsi="宋体"/>
                <w:szCs w:val="21"/>
                <w:lang w:eastAsia="zh-CN"/>
              </w:rPr>
              <w:t>药物熏洗或坐浴</w:t>
            </w:r>
            <w:r>
              <w:rPr>
                <w:rFonts w:hint="eastAsia" w:hAnsi="宋体"/>
                <w:szCs w:val="21"/>
              </w:rPr>
              <w:t>、</w:t>
            </w:r>
            <w:r>
              <w:rPr>
                <w:rFonts w:hint="eastAsia" w:hAnsi="宋体"/>
                <w:szCs w:val="21"/>
                <w:lang w:eastAsia="zh-CN"/>
              </w:rPr>
              <w:t>肛门</w:t>
            </w:r>
            <w:r>
              <w:rPr>
                <w:rFonts w:hint="eastAsia" w:hAnsi="宋体"/>
                <w:szCs w:val="21"/>
              </w:rPr>
              <w:t>换药</w:t>
            </w:r>
          </w:p>
          <w:p>
            <w:pPr>
              <w:rPr>
                <w:rFonts w:hint="eastAsia"/>
                <w:szCs w:val="21"/>
              </w:rPr>
            </w:pPr>
          </w:p>
          <w:p>
            <w:pPr>
              <w:rPr>
                <w:szCs w:val="21"/>
              </w:rPr>
            </w:pPr>
          </w:p>
        </w:tc>
        <w:tc>
          <w:tcPr>
            <w:tcW w:w="3152" w:type="dxa"/>
            <w:tcBorders>
              <w:top w:val="double" w:color="auto" w:sz="4" w:space="0"/>
              <w:left w:val="single" w:color="auto" w:sz="8" w:space="0"/>
              <w:bottom w:val="single" w:color="auto" w:sz="8" w:space="0"/>
              <w:right w:val="single" w:color="auto" w:sz="8" w:space="0"/>
            </w:tcBorders>
            <w:vAlign w:val="top"/>
          </w:tcPr>
          <w:p>
            <w:pPr>
              <w:numPr>
                <w:ilvl w:val="0"/>
                <w:numId w:val="2"/>
              </w:numPr>
              <w:rPr>
                <w:szCs w:val="21"/>
              </w:rPr>
            </w:pPr>
            <w:r>
              <w:rPr>
                <w:rFonts w:hint="eastAsia" w:hAnsi="宋体"/>
                <w:szCs w:val="21"/>
              </w:rPr>
              <w:t>观察术后病情</w:t>
            </w:r>
          </w:p>
          <w:p>
            <w:pPr>
              <w:numPr>
                <w:ilvl w:val="0"/>
                <w:numId w:val="2"/>
              </w:numPr>
              <w:rPr>
                <w:szCs w:val="21"/>
              </w:rPr>
            </w:pPr>
            <w:r>
              <w:rPr>
                <w:rFonts w:hint="eastAsia" w:hAnsi="宋体"/>
                <w:szCs w:val="21"/>
                <w:lang w:eastAsia="zh-CN"/>
              </w:rPr>
              <w:t>肛门直肠测压了解肛门功能情况</w:t>
            </w:r>
          </w:p>
          <w:p>
            <w:pPr>
              <w:numPr>
                <w:ilvl w:val="0"/>
                <w:numId w:val="2"/>
              </w:numPr>
              <w:rPr>
                <w:color w:val="000000"/>
                <w:szCs w:val="21"/>
              </w:rPr>
            </w:pPr>
            <w:r>
              <w:rPr>
                <w:rFonts w:hint="eastAsia" w:hAnsi="宋体"/>
                <w:color w:val="000000"/>
                <w:szCs w:val="21"/>
              </w:rPr>
              <w:t>确定符合出院指征</w:t>
            </w:r>
          </w:p>
          <w:p>
            <w:pPr>
              <w:numPr>
                <w:ilvl w:val="0"/>
                <w:numId w:val="2"/>
              </w:numPr>
              <w:rPr>
                <w:color w:val="000000"/>
                <w:szCs w:val="21"/>
              </w:rPr>
            </w:pPr>
            <w:r>
              <w:rPr>
                <w:rFonts w:hint="eastAsia" w:hAnsi="宋体"/>
                <w:color w:val="000000"/>
                <w:szCs w:val="21"/>
              </w:rPr>
              <w:t>向患者交代出院注意事项、复查日期</w:t>
            </w:r>
          </w:p>
          <w:p>
            <w:pPr>
              <w:numPr>
                <w:ilvl w:val="0"/>
                <w:numId w:val="2"/>
              </w:numPr>
              <w:rPr>
                <w:color w:val="000000"/>
                <w:szCs w:val="21"/>
              </w:rPr>
            </w:pPr>
            <w:r>
              <w:rPr>
                <w:rFonts w:hint="eastAsia" w:hAnsi="宋体"/>
                <w:color w:val="000000"/>
                <w:szCs w:val="21"/>
              </w:rPr>
              <w:t>完成病历</w:t>
            </w:r>
          </w:p>
          <w:p>
            <w:pPr>
              <w:numPr>
                <w:ilvl w:val="0"/>
                <w:numId w:val="2"/>
              </w:numPr>
              <w:rPr>
                <w:color w:val="000000"/>
                <w:szCs w:val="21"/>
              </w:rPr>
            </w:pPr>
            <w:r>
              <w:rPr>
                <w:rFonts w:hint="eastAsia" w:hAnsi="宋体"/>
                <w:color w:val="000000"/>
                <w:szCs w:val="21"/>
              </w:rPr>
              <w:t>通知出院</w:t>
            </w:r>
          </w:p>
          <w:p>
            <w:pPr>
              <w:rPr>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927" w:hRule="atLeast"/>
          <w:jc w:val="center"/>
        </w:trPr>
        <w:tc>
          <w:tcPr>
            <w:tcW w:w="720"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重</w:t>
            </w:r>
          </w:p>
          <w:p>
            <w:pPr>
              <w:widowControl/>
              <w:jc w:val="center"/>
              <w:rPr>
                <w:rFonts w:eastAsia="黑体"/>
                <w:kern w:val="0"/>
                <w:szCs w:val="21"/>
              </w:rPr>
            </w:pPr>
            <w:r>
              <w:rPr>
                <w:rFonts w:hint="eastAsia" w:eastAsia="黑体"/>
                <w:kern w:val="0"/>
                <w:szCs w:val="21"/>
              </w:rPr>
              <w:t>点</w:t>
            </w:r>
          </w:p>
          <w:p>
            <w:pPr>
              <w:widowControl/>
              <w:jc w:val="center"/>
              <w:rPr>
                <w:rFonts w:eastAsia="黑体"/>
                <w:kern w:val="0"/>
                <w:szCs w:val="21"/>
              </w:rPr>
            </w:pPr>
            <w:r>
              <w:rPr>
                <w:rFonts w:hint="eastAsia" w:eastAsia="黑体"/>
                <w:kern w:val="0"/>
                <w:szCs w:val="21"/>
              </w:rPr>
              <w:t>医</w:t>
            </w:r>
          </w:p>
          <w:p>
            <w:pPr>
              <w:widowControl/>
              <w:jc w:val="center"/>
              <w:rPr>
                <w:rFonts w:eastAsia="黑体"/>
                <w:kern w:val="0"/>
                <w:szCs w:val="21"/>
              </w:rPr>
            </w:pPr>
            <w:r>
              <w:rPr>
                <w:rFonts w:hint="eastAsia" w:eastAsia="黑体"/>
                <w:kern w:val="0"/>
                <w:szCs w:val="21"/>
              </w:rPr>
              <w:t>嘱</w:t>
            </w:r>
          </w:p>
        </w:tc>
        <w:tc>
          <w:tcPr>
            <w:tcW w:w="3295" w:type="dxa"/>
            <w:tcBorders>
              <w:top w:val="single" w:color="auto" w:sz="8" w:space="0"/>
              <w:left w:val="single" w:color="auto" w:sz="8" w:space="0"/>
              <w:bottom w:val="single" w:color="auto" w:sz="8" w:space="0"/>
              <w:right w:val="single" w:color="auto" w:sz="8" w:space="0"/>
            </w:tcBorders>
            <w:vAlign w:val="top"/>
          </w:tcPr>
          <w:p>
            <w:pPr>
              <w:rPr>
                <w:b/>
                <w:szCs w:val="21"/>
              </w:rPr>
            </w:pPr>
            <w:r>
              <w:rPr>
                <w:rFonts w:hint="eastAsia" w:hAnsi="宋体"/>
                <w:b/>
                <w:szCs w:val="21"/>
              </w:rPr>
              <w:t>长期医嘱：</w:t>
            </w:r>
          </w:p>
          <w:p>
            <w:pPr>
              <w:numPr>
                <w:ilvl w:val="0"/>
                <w:numId w:val="2"/>
              </w:numPr>
              <w:rPr>
                <w:rFonts w:hAnsi="宋体"/>
                <w:szCs w:val="21"/>
              </w:rPr>
            </w:pPr>
            <w:r>
              <w:rPr>
                <w:rFonts w:hint="eastAsia" w:hAnsi="宋体"/>
                <w:szCs w:val="21"/>
              </w:rPr>
              <w:t>术前禁食</w:t>
            </w:r>
          </w:p>
          <w:p>
            <w:pPr>
              <w:numPr>
                <w:ilvl w:val="0"/>
                <w:numId w:val="2"/>
              </w:numPr>
              <w:rPr>
                <w:rFonts w:hAnsi="宋体"/>
                <w:szCs w:val="21"/>
              </w:rPr>
            </w:pPr>
            <w:r>
              <w:rPr>
                <w:rFonts w:hint="eastAsia" w:hAnsi="宋体"/>
                <w:szCs w:val="21"/>
              </w:rPr>
              <w:t>二级护理</w:t>
            </w:r>
          </w:p>
          <w:p>
            <w:pPr>
              <w:rPr>
                <w:b/>
                <w:szCs w:val="21"/>
              </w:rPr>
            </w:pPr>
            <w:r>
              <w:rPr>
                <w:rFonts w:hint="eastAsia" w:hAnsi="宋体"/>
                <w:b/>
                <w:szCs w:val="21"/>
              </w:rPr>
              <w:t>临时医嘱：</w:t>
            </w:r>
          </w:p>
          <w:p>
            <w:pPr>
              <w:numPr>
                <w:ilvl w:val="0"/>
                <w:numId w:val="2"/>
              </w:numPr>
              <w:rPr>
                <w:rFonts w:hAnsi="宋体"/>
                <w:szCs w:val="21"/>
              </w:rPr>
            </w:pPr>
            <w:r>
              <w:rPr>
                <w:rFonts w:hint="eastAsia" w:hAnsi="宋体"/>
                <w:szCs w:val="21"/>
              </w:rPr>
              <w:t>查血常规、大小便常规、肝肾功能、血糖、</w:t>
            </w:r>
            <w:r>
              <w:rPr>
                <w:rFonts w:hint="eastAsia" w:hAnsi="宋体"/>
                <w:szCs w:val="21"/>
                <w:lang w:eastAsia="zh-CN"/>
              </w:rPr>
              <w:t>电解质、</w:t>
            </w:r>
            <w:r>
              <w:rPr>
                <w:rFonts w:hint="eastAsia" w:hAnsi="宋体"/>
                <w:szCs w:val="21"/>
              </w:rPr>
              <w:t>凝血功能、感染性疾病筛查</w:t>
            </w:r>
          </w:p>
          <w:p>
            <w:pPr>
              <w:numPr>
                <w:ilvl w:val="0"/>
                <w:numId w:val="2"/>
              </w:numPr>
              <w:rPr>
                <w:rFonts w:hAnsi="宋体"/>
                <w:szCs w:val="21"/>
              </w:rPr>
            </w:pPr>
            <w:r>
              <w:rPr>
                <w:rFonts w:hint="eastAsia" w:hAnsi="宋体"/>
                <w:szCs w:val="21"/>
              </w:rPr>
              <w:t>查心电图、胸片</w:t>
            </w:r>
            <w:r>
              <w:rPr>
                <w:rFonts w:hint="eastAsia" w:hAnsi="宋体"/>
                <w:szCs w:val="21"/>
                <w:lang w:eastAsia="zh-CN"/>
              </w:rPr>
              <w:t>、肛门直肠测压、肛门彩</w:t>
            </w:r>
            <w:r>
              <w:rPr>
                <w:rFonts w:hint="eastAsia" w:hAnsi="宋体"/>
                <w:szCs w:val="21"/>
                <w:lang w:val="en-US" w:eastAsia="zh-CN"/>
              </w:rPr>
              <w:t>超或经直肠腔内彩超</w:t>
            </w:r>
            <w:bookmarkStart w:id="0" w:name="_GoBack"/>
            <w:bookmarkEnd w:id="0"/>
          </w:p>
          <w:p>
            <w:pPr>
              <w:numPr>
                <w:ilvl w:val="0"/>
                <w:numId w:val="2"/>
              </w:numPr>
              <w:rPr>
                <w:rFonts w:hAnsi="宋体"/>
                <w:szCs w:val="21"/>
              </w:rPr>
            </w:pPr>
            <w:r>
              <w:rPr>
                <w:rFonts w:hint="eastAsia" w:hAnsi="宋体"/>
                <w:szCs w:val="21"/>
              </w:rPr>
              <w:t>必要时行直肠、乙状结肠镜或纤维肠镜检查</w:t>
            </w:r>
          </w:p>
          <w:p>
            <w:pPr>
              <w:numPr>
                <w:ilvl w:val="0"/>
                <w:numId w:val="2"/>
              </w:numPr>
              <w:rPr>
                <w:rFonts w:hAnsi="宋体"/>
                <w:szCs w:val="21"/>
              </w:rPr>
            </w:pPr>
            <w:r>
              <w:rPr>
                <w:rFonts w:hint="eastAsia" w:hAnsi="宋体"/>
                <w:szCs w:val="21"/>
              </w:rPr>
              <w:t>术前准备（通便灌肠、备皮、药物皮试等）</w:t>
            </w:r>
          </w:p>
          <w:p>
            <w:pPr>
              <w:numPr>
                <w:ilvl w:val="0"/>
                <w:numId w:val="0"/>
              </w:numPr>
              <w:ind w:leftChars="0"/>
              <w:rPr>
                <w:kern w:val="0"/>
                <w:szCs w:val="21"/>
              </w:rPr>
            </w:pPr>
          </w:p>
        </w:tc>
        <w:tc>
          <w:tcPr>
            <w:tcW w:w="3185" w:type="dxa"/>
            <w:tcBorders>
              <w:top w:val="single" w:color="auto" w:sz="8" w:space="0"/>
              <w:left w:val="single" w:color="auto" w:sz="8" w:space="0"/>
              <w:bottom w:val="single" w:color="auto" w:sz="8" w:space="0"/>
              <w:right w:val="single" w:color="auto" w:sz="8" w:space="0"/>
            </w:tcBorders>
            <w:vAlign w:val="top"/>
          </w:tcPr>
          <w:p>
            <w:pPr>
              <w:rPr>
                <w:b/>
                <w:szCs w:val="21"/>
              </w:rPr>
            </w:pPr>
            <w:r>
              <w:rPr>
                <w:rFonts w:hint="eastAsia" w:hAnsi="宋体"/>
                <w:b/>
                <w:szCs w:val="21"/>
              </w:rPr>
              <w:t>长期医嘱：</w:t>
            </w:r>
          </w:p>
          <w:p>
            <w:pPr>
              <w:numPr>
                <w:ilvl w:val="0"/>
                <w:numId w:val="2"/>
              </w:numPr>
              <w:rPr>
                <w:rFonts w:hAnsi="宋体"/>
                <w:szCs w:val="21"/>
              </w:rPr>
            </w:pPr>
            <w:r>
              <w:rPr>
                <w:rFonts w:hint="eastAsia" w:hAnsi="宋体"/>
                <w:szCs w:val="21"/>
              </w:rPr>
              <w:t>一级护理</w:t>
            </w:r>
          </w:p>
          <w:p>
            <w:pPr>
              <w:numPr>
                <w:ilvl w:val="0"/>
                <w:numId w:val="2"/>
              </w:numPr>
              <w:rPr>
                <w:rFonts w:hAnsi="宋体"/>
                <w:szCs w:val="21"/>
              </w:rPr>
            </w:pPr>
            <w:r>
              <w:rPr>
                <w:rFonts w:hint="eastAsia" w:hAnsi="宋体"/>
                <w:szCs w:val="21"/>
              </w:rPr>
              <w:t>半流饮食（创面较大或有肛周缝合切口者，应先禁食</w:t>
            </w:r>
            <w:r>
              <w:rPr>
                <w:rFonts w:hAnsi="宋体"/>
                <w:szCs w:val="21"/>
              </w:rPr>
              <w:t>1~2</w:t>
            </w:r>
            <w:r>
              <w:rPr>
                <w:rFonts w:hint="eastAsia" w:hAnsi="宋体"/>
                <w:szCs w:val="21"/>
              </w:rPr>
              <w:t>天，并限制排便）</w:t>
            </w:r>
          </w:p>
          <w:p>
            <w:pPr>
              <w:numPr>
                <w:ilvl w:val="0"/>
                <w:numId w:val="2"/>
              </w:numPr>
              <w:rPr>
                <w:rFonts w:hAnsi="宋体"/>
                <w:szCs w:val="21"/>
              </w:rPr>
            </w:pPr>
            <w:r>
              <w:rPr>
                <w:rFonts w:hint="eastAsia" w:hAnsi="宋体"/>
                <w:szCs w:val="21"/>
                <w:lang w:eastAsia="zh-CN"/>
              </w:rPr>
              <w:t>抗生素、止血药</w:t>
            </w:r>
          </w:p>
          <w:p>
            <w:pPr>
              <w:numPr>
                <w:ilvl w:val="0"/>
                <w:numId w:val="2"/>
              </w:numPr>
              <w:rPr>
                <w:rFonts w:hAnsi="宋体"/>
                <w:szCs w:val="21"/>
              </w:rPr>
            </w:pPr>
            <w:r>
              <w:rPr>
                <w:rFonts w:hint="eastAsia" w:hAnsi="宋体"/>
                <w:szCs w:val="21"/>
              </w:rPr>
              <w:t>便后</w:t>
            </w:r>
            <w:r>
              <w:rPr>
                <w:rFonts w:hint="eastAsia" w:hAnsi="宋体"/>
                <w:szCs w:val="21"/>
                <w:lang w:eastAsia="zh-CN"/>
              </w:rPr>
              <w:t>药物熏洗或坐浴、肛门换药</w:t>
            </w:r>
            <w:r>
              <w:rPr>
                <w:rFonts w:hAnsi="宋体"/>
                <w:szCs w:val="21"/>
              </w:rPr>
              <w:t xml:space="preserve"> </w:t>
            </w:r>
          </w:p>
          <w:p>
            <w:pPr>
              <w:numPr>
                <w:ilvl w:val="0"/>
                <w:numId w:val="2"/>
              </w:numPr>
              <w:rPr>
                <w:rFonts w:hAnsi="宋体"/>
                <w:szCs w:val="21"/>
              </w:rPr>
            </w:pPr>
            <w:r>
              <w:rPr>
                <w:rFonts w:hint="eastAsia" w:hAnsi="宋体"/>
                <w:szCs w:val="21"/>
              </w:rPr>
              <w:t>便后肛门部理疗</w:t>
            </w:r>
            <w:r>
              <w:rPr>
                <w:rFonts w:hAnsi="宋体"/>
                <w:szCs w:val="21"/>
              </w:rPr>
              <w:t xml:space="preserve"> </w:t>
            </w:r>
            <w:r>
              <w:rPr>
                <w:rFonts w:hint="eastAsia" w:hAnsi="宋体"/>
                <w:szCs w:val="21"/>
              </w:rPr>
              <w:t>（</w:t>
            </w:r>
            <w:r>
              <w:rPr>
                <w:rFonts w:hint="eastAsia" w:hAnsi="宋体"/>
                <w:szCs w:val="21"/>
                <w:lang w:val="en-US" w:eastAsia="zh-CN"/>
              </w:rPr>
              <w:t>TDP</w:t>
            </w:r>
            <w:r>
              <w:rPr>
                <w:rFonts w:hint="eastAsia" w:hAnsi="宋体"/>
                <w:szCs w:val="21"/>
              </w:rPr>
              <w:t>治疗、</w:t>
            </w:r>
            <w:r>
              <w:rPr>
                <w:rFonts w:hint="eastAsia" w:hAnsi="宋体"/>
                <w:szCs w:val="21"/>
                <w:lang w:eastAsia="zh-CN"/>
              </w:rPr>
              <w:t>红光</w:t>
            </w:r>
            <w:r>
              <w:rPr>
                <w:rFonts w:hint="eastAsia" w:hAnsi="宋体"/>
                <w:szCs w:val="21"/>
              </w:rPr>
              <w:t>照射治疗等）</w:t>
            </w:r>
          </w:p>
          <w:p>
            <w:pPr>
              <w:numPr>
                <w:ilvl w:val="0"/>
                <w:numId w:val="2"/>
              </w:numPr>
              <w:rPr>
                <w:szCs w:val="21"/>
              </w:rPr>
            </w:pPr>
            <w:r>
              <w:rPr>
                <w:rFonts w:hint="eastAsia" w:hAnsi="宋体"/>
                <w:szCs w:val="21"/>
              </w:rPr>
              <w:t>口服</w:t>
            </w:r>
            <w:r>
              <w:rPr>
                <w:rFonts w:hint="eastAsia" w:hAnsi="宋体"/>
                <w:szCs w:val="21"/>
                <w:lang w:eastAsia="zh-CN"/>
              </w:rPr>
              <w:t>止痛药、</w:t>
            </w:r>
            <w:r>
              <w:rPr>
                <w:rFonts w:hint="eastAsia" w:hAnsi="宋体"/>
                <w:szCs w:val="21"/>
              </w:rPr>
              <w:t>软化大便药、消水肿药</w:t>
            </w:r>
          </w:p>
          <w:p>
            <w:pPr>
              <w:rPr>
                <w:b/>
                <w:szCs w:val="21"/>
              </w:rPr>
            </w:pPr>
            <w:r>
              <w:rPr>
                <w:rFonts w:hint="eastAsia" w:hAnsi="宋体"/>
                <w:b/>
                <w:szCs w:val="21"/>
              </w:rPr>
              <w:t>临时医嘱：</w:t>
            </w:r>
          </w:p>
          <w:p>
            <w:pPr>
              <w:numPr>
                <w:ilvl w:val="0"/>
                <w:numId w:val="2"/>
              </w:numPr>
              <w:rPr>
                <w:szCs w:val="21"/>
              </w:rPr>
            </w:pPr>
            <w:r>
              <w:rPr>
                <w:rFonts w:hint="eastAsia" w:hAnsi="宋体"/>
                <w:szCs w:val="21"/>
                <w:lang w:eastAsia="zh-CN"/>
              </w:rPr>
              <w:t>出现术后大出血</w:t>
            </w:r>
            <w:r>
              <w:rPr>
                <w:rFonts w:hint="eastAsia" w:hAnsi="宋体"/>
                <w:szCs w:val="21"/>
              </w:rPr>
              <w:t>时，</w:t>
            </w:r>
            <w:r>
              <w:rPr>
                <w:rFonts w:hint="eastAsia" w:hAnsi="宋体"/>
                <w:szCs w:val="21"/>
                <w:lang w:eastAsia="zh-CN"/>
              </w:rPr>
              <w:t>予以急诊探查止血</w:t>
            </w:r>
          </w:p>
        </w:tc>
        <w:tc>
          <w:tcPr>
            <w:tcW w:w="3152" w:type="dxa"/>
            <w:tcBorders>
              <w:top w:val="single" w:color="auto" w:sz="8" w:space="0"/>
              <w:left w:val="single" w:color="auto" w:sz="8" w:space="0"/>
              <w:bottom w:val="single" w:color="auto" w:sz="8" w:space="0"/>
              <w:right w:val="single" w:color="auto" w:sz="8" w:space="0"/>
            </w:tcBorders>
            <w:vAlign w:val="top"/>
          </w:tcPr>
          <w:p>
            <w:pPr>
              <w:rPr>
                <w:b/>
                <w:color w:val="000000"/>
                <w:szCs w:val="21"/>
              </w:rPr>
            </w:pPr>
            <w:r>
              <w:rPr>
                <w:rFonts w:hint="eastAsia" w:hAnsi="宋体"/>
                <w:b/>
                <w:color w:val="000000"/>
                <w:szCs w:val="21"/>
              </w:rPr>
              <w:t>出院医嘱：</w:t>
            </w:r>
          </w:p>
          <w:p>
            <w:pPr>
              <w:numPr>
                <w:ilvl w:val="0"/>
                <w:numId w:val="2"/>
              </w:numPr>
              <w:rPr>
                <w:rFonts w:hAnsi="宋体"/>
                <w:szCs w:val="21"/>
              </w:rPr>
            </w:pPr>
            <w:r>
              <w:rPr>
                <w:rFonts w:hint="eastAsia" w:hAnsi="宋体"/>
                <w:szCs w:val="21"/>
              </w:rPr>
              <w:t>出院带药</w:t>
            </w:r>
          </w:p>
          <w:p>
            <w:pPr>
              <w:numPr>
                <w:ilvl w:val="0"/>
                <w:numId w:val="2"/>
              </w:numPr>
              <w:rPr>
                <w:szCs w:val="21"/>
              </w:rPr>
            </w:pPr>
            <w:r>
              <w:rPr>
                <w:rFonts w:hint="eastAsia" w:hAnsi="宋体"/>
                <w:szCs w:val="21"/>
              </w:rPr>
              <w:t>门诊随诊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94" w:hRule="atLeast"/>
          <w:jc w:val="center"/>
        </w:trPr>
        <w:tc>
          <w:tcPr>
            <w:tcW w:w="720"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主要护理</w:t>
            </w:r>
          </w:p>
          <w:p>
            <w:pPr>
              <w:widowControl/>
              <w:jc w:val="center"/>
              <w:rPr>
                <w:rFonts w:eastAsia="黑体"/>
                <w:kern w:val="0"/>
                <w:szCs w:val="21"/>
              </w:rPr>
            </w:pPr>
            <w:r>
              <w:rPr>
                <w:rFonts w:hint="eastAsia" w:eastAsia="黑体"/>
                <w:kern w:val="0"/>
                <w:szCs w:val="21"/>
              </w:rPr>
              <w:t>工作</w:t>
            </w:r>
          </w:p>
        </w:tc>
        <w:tc>
          <w:tcPr>
            <w:tcW w:w="3295" w:type="dxa"/>
            <w:tcBorders>
              <w:top w:val="single" w:color="auto" w:sz="8" w:space="0"/>
              <w:left w:val="single" w:color="auto" w:sz="8" w:space="0"/>
              <w:bottom w:val="single" w:color="auto" w:sz="8" w:space="0"/>
              <w:right w:val="single" w:color="auto" w:sz="8" w:space="0"/>
            </w:tcBorders>
            <w:vAlign w:val="top"/>
          </w:tcPr>
          <w:p>
            <w:pPr>
              <w:numPr>
                <w:ilvl w:val="0"/>
                <w:numId w:val="2"/>
              </w:numPr>
              <w:rPr>
                <w:rFonts w:hAnsi="宋体"/>
                <w:szCs w:val="21"/>
              </w:rPr>
            </w:pPr>
            <w:r>
              <w:rPr>
                <w:rFonts w:hint="eastAsia" w:hAnsi="宋体"/>
                <w:szCs w:val="21"/>
              </w:rPr>
              <w:t>患者一般状况资料登记，建立护理记录</w:t>
            </w:r>
          </w:p>
          <w:p>
            <w:pPr>
              <w:numPr>
                <w:ilvl w:val="0"/>
                <w:numId w:val="2"/>
              </w:numPr>
              <w:rPr>
                <w:rFonts w:hAnsi="宋体"/>
                <w:szCs w:val="21"/>
              </w:rPr>
            </w:pPr>
            <w:r>
              <w:rPr>
                <w:rFonts w:hint="eastAsia" w:hAnsi="宋体"/>
                <w:szCs w:val="21"/>
              </w:rPr>
              <w:t>术前准备</w:t>
            </w:r>
          </w:p>
          <w:p>
            <w:pPr>
              <w:numPr>
                <w:ilvl w:val="0"/>
                <w:numId w:val="2"/>
              </w:numPr>
              <w:rPr>
                <w:kern w:val="0"/>
                <w:szCs w:val="21"/>
              </w:rPr>
            </w:pPr>
            <w:r>
              <w:rPr>
                <w:rFonts w:hint="eastAsia" w:hAnsi="宋体"/>
                <w:szCs w:val="21"/>
              </w:rPr>
              <w:t>术后护理</w:t>
            </w:r>
          </w:p>
        </w:tc>
        <w:tc>
          <w:tcPr>
            <w:tcW w:w="3185" w:type="dxa"/>
            <w:tcBorders>
              <w:top w:val="single" w:color="auto" w:sz="8" w:space="0"/>
              <w:left w:val="single" w:color="auto" w:sz="8" w:space="0"/>
              <w:bottom w:val="single" w:color="auto" w:sz="8" w:space="0"/>
              <w:right w:val="single" w:color="auto" w:sz="8" w:space="0"/>
            </w:tcBorders>
            <w:vAlign w:val="top"/>
          </w:tcPr>
          <w:p>
            <w:pPr>
              <w:numPr>
                <w:ilvl w:val="0"/>
                <w:numId w:val="2"/>
              </w:numPr>
              <w:rPr>
                <w:rFonts w:hAnsi="宋体"/>
                <w:szCs w:val="21"/>
              </w:rPr>
            </w:pPr>
            <w:r>
              <w:rPr>
                <w:rFonts w:hint="eastAsia" w:hAnsi="宋体"/>
                <w:szCs w:val="21"/>
              </w:rPr>
              <w:t>观察患者一般状况，营养状况</w:t>
            </w:r>
          </w:p>
          <w:p>
            <w:pPr>
              <w:numPr>
                <w:ilvl w:val="0"/>
                <w:numId w:val="2"/>
              </w:numPr>
              <w:rPr>
                <w:szCs w:val="21"/>
              </w:rPr>
            </w:pPr>
            <w:r>
              <w:rPr>
                <w:rFonts w:hint="eastAsia" w:hAnsi="宋体"/>
                <w:szCs w:val="21"/>
              </w:rPr>
              <w:t>嘱患者保持肛门清洁，切忌用力排便</w:t>
            </w:r>
          </w:p>
        </w:tc>
        <w:tc>
          <w:tcPr>
            <w:tcW w:w="3152" w:type="dxa"/>
            <w:tcBorders>
              <w:top w:val="single" w:color="auto" w:sz="8" w:space="0"/>
              <w:left w:val="single" w:color="auto" w:sz="8" w:space="0"/>
              <w:bottom w:val="single" w:color="auto" w:sz="8" w:space="0"/>
              <w:right w:val="single" w:color="auto" w:sz="8" w:space="0"/>
            </w:tcBorders>
            <w:vAlign w:val="top"/>
          </w:tcPr>
          <w:p>
            <w:pPr>
              <w:numPr>
                <w:ilvl w:val="0"/>
                <w:numId w:val="2"/>
              </w:numPr>
              <w:rPr>
                <w:rFonts w:hAnsi="宋体"/>
                <w:szCs w:val="21"/>
              </w:rPr>
            </w:pPr>
            <w:r>
              <w:rPr>
                <w:rFonts w:hint="eastAsia" w:hAnsi="宋体"/>
                <w:szCs w:val="21"/>
              </w:rPr>
              <w:t>记录患者一般状况，营养状况</w:t>
            </w:r>
          </w:p>
          <w:p>
            <w:pPr>
              <w:numPr>
                <w:ilvl w:val="0"/>
                <w:numId w:val="2"/>
              </w:numPr>
              <w:rPr>
                <w:szCs w:val="21"/>
              </w:rPr>
            </w:pPr>
            <w:r>
              <w:rPr>
                <w:rFonts w:hint="eastAsia" w:hAnsi="宋体"/>
                <w:szCs w:val="21"/>
              </w:rPr>
              <w:t>嘱患者出院后继续注意保持大便通畅，保持肛门局部清洁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23" w:hRule="atLeast"/>
          <w:jc w:val="center"/>
        </w:trPr>
        <w:tc>
          <w:tcPr>
            <w:tcW w:w="720"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病情变异记录</w:t>
            </w:r>
          </w:p>
        </w:tc>
        <w:tc>
          <w:tcPr>
            <w:tcW w:w="3295" w:type="dxa"/>
            <w:tcBorders>
              <w:top w:val="single" w:color="auto" w:sz="8" w:space="0"/>
              <w:left w:val="single" w:color="auto" w:sz="8" w:space="0"/>
              <w:bottom w:val="single" w:color="auto" w:sz="8" w:space="0"/>
              <w:right w:val="single" w:color="auto" w:sz="8" w:space="0"/>
            </w:tcBorders>
            <w:vAlign w:val="top"/>
          </w:tcPr>
          <w:p>
            <w:pPr>
              <w:widowControl/>
              <w:rPr>
                <w:rFonts w:ascii="宋体" w:hAnsi="宋体"/>
                <w:kern w:val="0"/>
                <w:szCs w:val="21"/>
              </w:rPr>
            </w:pPr>
            <w:r>
              <w:rPr>
                <w:rFonts w:hint="eastAsia" w:ascii="宋体" w:hAnsi="宋体"/>
                <w:kern w:val="0"/>
                <w:szCs w:val="21"/>
              </w:rPr>
              <w:t>□无</w:t>
            </w:r>
            <w:r>
              <w:rPr>
                <w:rFonts w:ascii="宋体" w:hAnsi="宋体"/>
                <w:kern w:val="0"/>
                <w:szCs w:val="21"/>
              </w:rPr>
              <w:t xml:space="preserve">  □有，原因：</w:t>
            </w:r>
          </w:p>
          <w:p>
            <w:pPr>
              <w:widowControl/>
              <w:rPr>
                <w:rFonts w:ascii="宋体" w:hAnsi="宋体"/>
                <w:kern w:val="0"/>
                <w:szCs w:val="21"/>
              </w:rPr>
            </w:pPr>
            <w:r>
              <w:rPr>
                <w:rFonts w:ascii="宋体" w:hAnsi="宋体"/>
                <w:kern w:val="0"/>
                <w:szCs w:val="21"/>
              </w:rPr>
              <w:t>1.</w:t>
            </w:r>
          </w:p>
          <w:p>
            <w:pPr>
              <w:widowControl/>
              <w:rPr>
                <w:kern w:val="0"/>
                <w:szCs w:val="21"/>
              </w:rPr>
            </w:pPr>
            <w:r>
              <w:rPr>
                <w:rFonts w:ascii="宋体" w:hAnsi="宋体"/>
                <w:kern w:val="0"/>
                <w:szCs w:val="21"/>
              </w:rPr>
              <w:t>2.</w:t>
            </w:r>
          </w:p>
        </w:tc>
        <w:tc>
          <w:tcPr>
            <w:tcW w:w="3185" w:type="dxa"/>
            <w:tcBorders>
              <w:top w:val="single" w:color="auto" w:sz="8" w:space="0"/>
              <w:left w:val="single" w:color="auto" w:sz="8" w:space="0"/>
              <w:bottom w:val="single" w:color="auto" w:sz="8" w:space="0"/>
              <w:right w:val="single" w:color="auto" w:sz="8" w:space="0"/>
            </w:tcBorders>
            <w:vAlign w:val="top"/>
          </w:tcPr>
          <w:p>
            <w:pPr>
              <w:widowControl/>
              <w:rPr>
                <w:rFonts w:ascii="宋体" w:hAnsi="宋体"/>
                <w:kern w:val="0"/>
                <w:szCs w:val="21"/>
              </w:rPr>
            </w:pPr>
            <w:r>
              <w:rPr>
                <w:rFonts w:hint="eastAsia" w:ascii="宋体" w:hAnsi="宋体"/>
                <w:kern w:val="0"/>
                <w:szCs w:val="21"/>
              </w:rPr>
              <w:t>□无</w:t>
            </w:r>
            <w:r>
              <w:rPr>
                <w:rFonts w:ascii="宋体" w:hAnsi="宋体"/>
                <w:kern w:val="0"/>
                <w:szCs w:val="21"/>
              </w:rPr>
              <w:t xml:space="preserve">  □有，原因：</w:t>
            </w:r>
          </w:p>
          <w:p>
            <w:pPr>
              <w:widowControl/>
              <w:rPr>
                <w:rFonts w:ascii="宋体" w:hAnsi="宋体"/>
                <w:kern w:val="0"/>
                <w:szCs w:val="21"/>
              </w:rPr>
            </w:pPr>
            <w:r>
              <w:rPr>
                <w:rFonts w:ascii="宋体" w:hAnsi="宋体"/>
                <w:kern w:val="0"/>
                <w:szCs w:val="21"/>
              </w:rPr>
              <w:t>1.</w:t>
            </w:r>
          </w:p>
          <w:p>
            <w:pPr>
              <w:widowControl/>
              <w:rPr>
                <w:kern w:val="0"/>
                <w:szCs w:val="21"/>
              </w:rPr>
            </w:pPr>
            <w:r>
              <w:rPr>
                <w:rFonts w:ascii="宋体" w:hAnsi="宋体"/>
                <w:kern w:val="0"/>
                <w:szCs w:val="21"/>
              </w:rPr>
              <w:t>2.</w:t>
            </w:r>
          </w:p>
        </w:tc>
        <w:tc>
          <w:tcPr>
            <w:tcW w:w="3152" w:type="dxa"/>
            <w:tcBorders>
              <w:top w:val="single" w:color="auto" w:sz="8" w:space="0"/>
              <w:left w:val="single" w:color="auto" w:sz="8" w:space="0"/>
              <w:bottom w:val="single" w:color="auto" w:sz="8" w:space="0"/>
              <w:right w:val="single" w:color="auto" w:sz="8" w:space="0"/>
            </w:tcBorders>
            <w:vAlign w:val="top"/>
          </w:tcPr>
          <w:p>
            <w:pPr>
              <w:widowControl/>
              <w:rPr>
                <w:rFonts w:ascii="宋体" w:hAnsi="宋体"/>
                <w:kern w:val="0"/>
                <w:szCs w:val="21"/>
              </w:rPr>
            </w:pPr>
            <w:r>
              <w:rPr>
                <w:rFonts w:hint="eastAsia" w:ascii="宋体" w:hAnsi="宋体"/>
                <w:kern w:val="0"/>
                <w:szCs w:val="21"/>
              </w:rPr>
              <w:t>□无</w:t>
            </w:r>
            <w:r>
              <w:rPr>
                <w:rFonts w:ascii="宋体" w:hAnsi="宋体"/>
                <w:kern w:val="0"/>
                <w:szCs w:val="21"/>
              </w:rPr>
              <w:t xml:space="preserve">  □有，原因：</w:t>
            </w:r>
          </w:p>
          <w:p>
            <w:pPr>
              <w:widowControl/>
              <w:rPr>
                <w:rFonts w:ascii="宋体" w:hAnsi="宋体"/>
                <w:kern w:val="0"/>
                <w:szCs w:val="21"/>
              </w:rPr>
            </w:pPr>
            <w:r>
              <w:rPr>
                <w:rFonts w:ascii="宋体" w:hAnsi="宋体"/>
                <w:kern w:val="0"/>
                <w:szCs w:val="21"/>
              </w:rPr>
              <w:t>1.</w:t>
            </w:r>
          </w:p>
          <w:p>
            <w:pPr>
              <w:widowControl/>
              <w:rPr>
                <w:kern w:val="0"/>
                <w:szCs w:val="21"/>
              </w:rPr>
            </w:pPr>
            <w:r>
              <w:rPr>
                <w:rFonts w:ascii="宋体" w:hAnsi="宋体"/>
                <w:kern w:val="0"/>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16" w:hRule="atLeast"/>
          <w:jc w:val="center"/>
        </w:trPr>
        <w:tc>
          <w:tcPr>
            <w:tcW w:w="720"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护士</w:t>
            </w:r>
          </w:p>
          <w:p>
            <w:pPr>
              <w:widowControl/>
              <w:jc w:val="center"/>
              <w:rPr>
                <w:rFonts w:eastAsia="黑体"/>
                <w:kern w:val="0"/>
                <w:szCs w:val="21"/>
              </w:rPr>
            </w:pPr>
            <w:r>
              <w:rPr>
                <w:rFonts w:hint="eastAsia" w:eastAsia="黑体"/>
                <w:kern w:val="0"/>
                <w:szCs w:val="21"/>
              </w:rPr>
              <w:t>签名</w:t>
            </w:r>
          </w:p>
        </w:tc>
        <w:tc>
          <w:tcPr>
            <w:tcW w:w="3295" w:type="dxa"/>
            <w:tcBorders>
              <w:top w:val="single" w:color="auto" w:sz="8" w:space="0"/>
              <w:left w:val="single" w:color="auto" w:sz="8" w:space="0"/>
              <w:bottom w:val="single" w:color="auto" w:sz="8" w:space="0"/>
              <w:right w:val="single" w:color="auto" w:sz="8" w:space="0"/>
            </w:tcBorders>
            <w:vAlign w:val="top"/>
          </w:tcPr>
          <w:p>
            <w:pPr>
              <w:rPr>
                <w:kern w:val="0"/>
                <w:szCs w:val="21"/>
              </w:rPr>
            </w:pPr>
          </w:p>
        </w:tc>
        <w:tc>
          <w:tcPr>
            <w:tcW w:w="3185" w:type="dxa"/>
            <w:tcBorders>
              <w:top w:val="single" w:color="auto" w:sz="8" w:space="0"/>
              <w:left w:val="single" w:color="auto" w:sz="8" w:space="0"/>
              <w:bottom w:val="single" w:color="auto" w:sz="8" w:space="0"/>
              <w:right w:val="single" w:color="auto" w:sz="8" w:space="0"/>
            </w:tcBorders>
            <w:vAlign w:val="top"/>
          </w:tcPr>
          <w:p>
            <w:pPr>
              <w:rPr>
                <w:kern w:val="0"/>
                <w:szCs w:val="21"/>
              </w:rPr>
            </w:pPr>
          </w:p>
        </w:tc>
        <w:tc>
          <w:tcPr>
            <w:tcW w:w="3152" w:type="dxa"/>
            <w:tcBorders>
              <w:top w:val="single" w:color="auto" w:sz="8" w:space="0"/>
              <w:left w:val="single" w:color="auto" w:sz="8" w:space="0"/>
              <w:bottom w:val="single" w:color="auto" w:sz="8" w:space="0"/>
              <w:right w:val="single" w:color="auto" w:sz="8" w:space="0"/>
            </w:tcBorders>
            <w:vAlign w:val="top"/>
          </w:tcPr>
          <w:p>
            <w:pPr>
              <w:rPr>
                <w:kern w:val="0"/>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56" w:hRule="atLeast"/>
          <w:jc w:val="center"/>
        </w:trPr>
        <w:tc>
          <w:tcPr>
            <w:tcW w:w="720" w:type="dxa"/>
            <w:tcBorders>
              <w:top w:val="single" w:color="auto" w:sz="8" w:space="0"/>
              <w:left w:val="single" w:color="auto" w:sz="8" w:space="0"/>
              <w:bottom w:val="single" w:color="auto" w:sz="8" w:space="0"/>
              <w:right w:val="single" w:color="auto" w:sz="8" w:space="0"/>
            </w:tcBorders>
            <w:vAlign w:val="center"/>
          </w:tcPr>
          <w:p>
            <w:pPr>
              <w:widowControl/>
              <w:jc w:val="center"/>
              <w:rPr>
                <w:rFonts w:eastAsia="黑体"/>
                <w:kern w:val="0"/>
                <w:szCs w:val="21"/>
              </w:rPr>
            </w:pPr>
            <w:r>
              <w:rPr>
                <w:rFonts w:hint="eastAsia" w:eastAsia="黑体"/>
                <w:kern w:val="0"/>
                <w:szCs w:val="21"/>
              </w:rPr>
              <w:t>医师</w:t>
            </w:r>
          </w:p>
          <w:p>
            <w:pPr>
              <w:jc w:val="center"/>
              <w:rPr>
                <w:rFonts w:eastAsia="黑体"/>
                <w:kern w:val="0"/>
                <w:szCs w:val="21"/>
              </w:rPr>
            </w:pPr>
            <w:r>
              <w:rPr>
                <w:rFonts w:hint="eastAsia" w:eastAsia="黑体"/>
                <w:kern w:val="0"/>
                <w:szCs w:val="21"/>
              </w:rPr>
              <w:t>签名</w:t>
            </w:r>
          </w:p>
        </w:tc>
        <w:tc>
          <w:tcPr>
            <w:tcW w:w="3295" w:type="dxa"/>
            <w:tcBorders>
              <w:top w:val="single" w:color="auto" w:sz="8" w:space="0"/>
              <w:left w:val="single" w:color="auto" w:sz="8" w:space="0"/>
              <w:bottom w:val="single" w:color="auto" w:sz="8" w:space="0"/>
              <w:right w:val="single" w:color="auto" w:sz="8" w:space="0"/>
            </w:tcBorders>
            <w:vAlign w:val="top"/>
          </w:tcPr>
          <w:p>
            <w:pPr>
              <w:widowControl/>
              <w:rPr>
                <w:kern w:val="0"/>
                <w:szCs w:val="21"/>
              </w:rPr>
            </w:pPr>
            <w:r>
              <w:rPr>
                <w:rFonts w:hint="eastAsia" w:hAnsi="宋体"/>
                <w:kern w:val="0"/>
                <w:szCs w:val="21"/>
              </w:rPr>
              <w:t>　</w:t>
            </w:r>
          </w:p>
        </w:tc>
        <w:tc>
          <w:tcPr>
            <w:tcW w:w="3185" w:type="dxa"/>
            <w:tcBorders>
              <w:top w:val="single" w:color="auto" w:sz="8" w:space="0"/>
              <w:left w:val="single" w:color="auto" w:sz="8" w:space="0"/>
              <w:bottom w:val="single" w:color="auto" w:sz="8" w:space="0"/>
              <w:right w:val="single" w:color="auto" w:sz="8" w:space="0"/>
            </w:tcBorders>
            <w:vAlign w:val="top"/>
          </w:tcPr>
          <w:p>
            <w:pPr>
              <w:widowControl/>
              <w:rPr>
                <w:kern w:val="0"/>
                <w:szCs w:val="21"/>
              </w:rPr>
            </w:pPr>
            <w:r>
              <w:rPr>
                <w:rFonts w:hint="eastAsia" w:hAnsi="宋体"/>
                <w:kern w:val="0"/>
                <w:szCs w:val="21"/>
              </w:rPr>
              <w:t>　</w:t>
            </w:r>
          </w:p>
        </w:tc>
        <w:tc>
          <w:tcPr>
            <w:tcW w:w="3152" w:type="dxa"/>
            <w:tcBorders>
              <w:top w:val="single" w:color="auto" w:sz="8" w:space="0"/>
              <w:left w:val="single" w:color="auto" w:sz="8" w:space="0"/>
              <w:bottom w:val="single" w:color="auto" w:sz="8" w:space="0"/>
              <w:right w:val="single" w:color="auto" w:sz="8" w:space="0"/>
            </w:tcBorders>
            <w:vAlign w:val="top"/>
          </w:tcPr>
          <w:p>
            <w:pPr>
              <w:widowControl/>
              <w:rPr>
                <w:kern w:val="0"/>
                <w:szCs w:val="21"/>
              </w:rPr>
            </w:pPr>
            <w:r>
              <w:rPr>
                <w:rFonts w:hint="eastAsia" w:hAnsi="宋体"/>
                <w:kern w:val="0"/>
                <w:szCs w:val="21"/>
              </w:rPr>
              <w:t>　</w:t>
            </w:r>
          </w:p>
        </w:tc>
      </w:tr>
    </w:tbl>
    <w:p/>
    <w:p/>
    <w:sectPr>
      <w:footnotePr>
        <w:numFmt w:val="decimal"/>
      </w:footnote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仿宋_GB2312"/>
    <w:panose1 w:val="02010609060101010101"/>
    <w:charset w:val="86"/>
    <w:family w:val="modern"/>
    <w:pitch w:val="default"/>
    <w:sig w:usb0="00000000" w:usb1="0000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0"/>
    <w:lvl w:ilvl="0" w:tentative="0">
      <w:start w:val="0"/>
      <w:numFmt w:val="bullet"/>
      <w:lvlText w:val="□"/>
      <w:lvlJc w:val="left"/>
      <w:pPr>
        <w:tabs>
          <w:tab w:val="left" w:pos="360"/>
        </w:tabs>
        <w:ind w:left="360" w:hanging="360"/>
      </w:pPr>
      <w:rPr>
        <w:rFonts w:hint="eastAsia" w:ascii="宋体" w:hAnsi="宋体" w:eastAsia="宋体" w:cs="Times New Roman"/>
        <w:lang w:val="en-US"/>
      </w:rPr>
    </w:lvl>
    <w:lvl w:ilvl="1" w:tentative="0">
      <w:start w:val="0"/>
      <w:numFmt w:val="bullet"/>
      <w:lvlText w:val="□"/>
      <w:lvlJc w:val="left"/>
      <w:pPr>
        <w:tabs>
          <w:tab w:val="left" w:pos="780"/>
        </w:tabs>
        <w:ind w:left="780" w:hanging="360"/>
      </w:pPr>
      <w:rPr>
        <w:rFonts w:hint="eastAsia" w:ascii="宋体" w:hAnsi="宋体" w:eastAsia="宋体" w:cs="Times New Roman"/>
        <w:color w:val="auto"/>
        <w:lang w:val="en-US"/>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598BAEBD"/>
    <w:multiLevelType w:val="singleLevel"/>
    <w:tmpl w:val="598BAEBD"/>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D2E31"/>
    <w:rsid w:val="04AA5619"/>
    <w:rsid w:val="059C7AEC"/>
    <w:rsid w:val="063F28BD"/>
    <w:rsid w:val="08B71A3B"/>
    <w:rsid w:val="0A916955"/>
    <w:rsid w:val="12D15951"/>
    <w:rsid w:val="131E0713"/>
    <w:rsid w:val="14E710A9"/>
    <w:rsid w:val="16F05D81"/>
    <w:rsid w:val="19F703C9"/>
    <w:rsid w:val="1A261E8E"/>
    <w:rsid w:val="1B9D4A59"/>
    <w:rsid w:val="1C30664C"/>
    <w:rsid w:val="1F4641DB"/>
    <w:rsid w:val="1FC57EE7"/>
    <w:rsid w:val="20BB4426"/>
    <w:rsid w:val="22096100"/>
    <w:rsid w:val="235A74C2"/>
    <w:rsid w:val="24FC4728"/>
    <w:rsid w:val="28D644BD"/>
    <w:rsid w:val="2C6127F9"/>
    <w:rsid w:val="2D9056E1"/>
    <w:rsid w:val="2E646FF3"/>
    <w:rsid w:val="31673692"/>
    <w:rsid w:val="32B41E3D"/>
    <w:rsid w:val="365463BF"/>
    <w:rsid w:val="372B247D"/>
    <w:rsid w:val="37E71510"/>
    <w:rsid w:val="39700D20"/>
    <w:rsid w:val="3EAA7D13"/>
    <w:rsid w:val="40834953"/>
    <w:rsid w:val="43B82FEE"/>
    <w:rsid w:val="448D3B5F"/>
    <w:rsid w:val="45494A98"/>
    <w:rsid w:val="45B21B3C"/>
    <w:rsid w:val="47C44B21"/>
    <w:rsid w:val="47F22243"/>
    <w:rsid w:val="487329A1"/>
    <w:rsid w:val="48BE6DE5"/>
    <w:rsid w:val="4A2602D2"/>
    <w:rsid w:val="4B7809C2"/>
    <w:rsid w:val="4D1C7AD9"/>
    <w:rsid w:val="524F6D28"/>
    <w:rsid w:val="53757050"/>
    <w:rsid w:val="54C65903"/>
    <w:rsid w:val="564B2F10"/>
    <w:rsid w:val="58F06B48"/>
    <w:rsid w:val="5BC41D10"/>
    <w:rsid w:val="5E0B7ACF"/>
    <w:rsid w:val="5E714880"/>
    <w:rsid w:val="5F17346F"/>
    <w:rsid w:val="609933B5"/>
    <w:rsid w:val="622B1A4F"/>
    <w:rsid w:val="62B54E06"/>
    <w:rsid w:val="63CE2D8B"/>
    <w:rsid w:val="67396FA5"/>
    <w:rsid w:val="67715E3C"/>
    <w:rsid w:val="69250C4F"/>
    <w:rsid w:val="6946083A"/>
    <w:rsid w:val="6DA369B2"/>
    <w:rsid w:val="6DA744E6"/>
    <w:rsid w:val="6FA9306B"/>
    <w:rsid w:val="70BF4C14"/>
    <w:rsid w:val="70E54B0A"/>
    <w:rsid w:val="71786304"/>
    <w:rsid w:val="71D270B4"/>
    <w:rsid w:val="72453D0B"/>
    <w:rsid w:val="74912735"/>
    <w:rsid w:val="74AF56DF"/>
    <w:rsid w:val="77F112FB"/>
    <w:rsid w:val="79AF0EA3"/>
    <w:rsid w:val="7AF138FA"/>
    <w:rsid w:val="7B161855"/>
    <w:rsid w:val="7C012C66"/>
    <w:rsid w:val="7D8C38CE"/>
    <w:rsid w:val="7EFA76E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chenting</cp:lastModifiedBy>
  <cp:lastPrinted>2017-08-10T02:22:00Z</cp:lastPrinted>
  <dcterms:modified xsi:type="dcterms:W3CDTF">2017-08-11T02:42:22Z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