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FB949">
      <w:pPr>
        <w:pStyle w:val="2"/>
        <w:jc w:val="center"/>
      </w:pPr>
      <w:r>
        <w:rPr>
          <w:rFonts w:hint="eastAsia"/>
        </w:rPr>
        <w:t>随访系统软件设计服务采购综合评分表</w:t>
      </w:r>
    </w:p>
    <w:p w14:paraId="223DF054">
      <w:pPr>
        <w:pStyle w:val="10"/>
        <w:numPr>
          <w:ilvl w:val="0"/>
          <w:numId w:val="1"/>
        </w:numPr>
        <w:ind w:firstLineChars="0"/>
      </w:pPr>
      <w:r>
        <w:rPr>
          <w:rFonts w:hint="eastAsia"/>
        </w:rPr>
        <w:t>评分权重总览</w:t>
      </w:r>
    </w:p>
    <w:p w14:paraId="26B59761">
      <w:pPr>
        <w:pStyle w:val="10"/>
        <w:ind w:left="420" w:firstLine="0" w:firstLineChars="0"/>
      </w:pPr>
    </w:p>
    <w:tbl>
      <w:tblPr>
        <w:tblStyle w:val="5"/>
        <w:tblW w:w="0" w:type="auto"/>
        <w:tblInd w:w="42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00"/>
        <w:gridCol w:w="2701"/>
        <w:gridCol w:w="2701"/>
      </w:tblGrid>
      <w:tr w14:paraId="2FA3A4F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0" w:type="dxa"/>
            <w:tcBorders>
              <w:top w:val="single" w:color="auto" w:sz="4" w:space="0"/>
              <w:bottom w:val="single" w:color="auto" w:sz="4" w:space="0"/>
            </w:tcBorders>
            <w:vAlign w:val="center"/>
          </w:tcPr>
          <w:p w14:paraId="411FD891">
            <w:pPr>
              <w:spacing w:line="375" w:lineRule="atLeast"/>
              <w:rPr>
                <w:rFonts w:ascii="Segoe UI" w:hAnsi="Segoe UI" w:eastAsia="宋体" w:cs="Segoe UI"/>
                <w:color w:val="0F1115"/>
                <w:sz w:val="23"/>
                <w:szCs w:val="23"/>
              </w:rPr>
            </w:pPr>
            <w:r>
              <w:rPr>
                <w:rFonts w:ascii="Segoe UI" w:hAnsi="Segoe UI" w:cs="Segoe UI"/>
                <w:color w:val="0F1115"/>
                <w:sz w:val="23"/>
                <w:szCs w:val="23"/>
              </w:rPr>
              <w:t>评分维度</w:t>
            </w:r>
          </w:p>
        </w:tc>
        <w:tc>
          <w:tcPr>
            <w:tcW w:w="2701" w:type="dxa"/>
            <w:tcBorders>
              <w:top w:val="single" w:color="auto" w:sz="4" w:space="0"/>
              <w:bottom w:val="single" w:color="auto" w:sz="4" w:space="0"/>
            </w:tcBorders>
            <w:vAlign w:val="center"/>
          </w:tcPr>
          <w:p w14:paraId="39C5C5A8">
            <w:pPr>
              <w:spacing w:line="375" w:lineRule="atLeast"/>
              <w:rPr>
                <w:rFonts w:ascii="Segoe UI" w:hAnsi="Segoe UI" w:eastAsia="宋体" w:cs="Segoe UI"/>
                <w:color w:val="0F1115"/>
                <w:sz w:val="23"/>
                <w:szCs w:val="23"/>
              </w:rPr>
            </w:pPr>
            <w:r>
              <w:rPr>
                <w:rFonts w:ascii="Segoe UI" w:hAnsi="Segoe UI" w:cs="Segoe UI"/>
                <w:color w:val="0F1115"/>
                <w:sz w:val="23"/>
                <w:szCs w:val="23"/>
              </w:rPr>
              <w:t>分值</w:t>
            </w:r>
          </w:p>
        </w:tc>
        <w:tc>
          <w:tcPr>
            <w:tcW w:w="2701" w:type="dxa"/>
            <w:tcBorders>
              <w:top w:val="single" w:color="auto" w:sz="4" w:space="0"/>
              <w:bottom w:val="single" w:color="auto" w:sz="4" w:space="0"/>
            </w:tcBorders>
            <w:vAlign w:val="center"/>
          </w:tcPr>
          <w:p w14:paraId="0F7E13CD">
            <w:pPr>
              <w:spacing w:line="375" w:lineRule="atLeast"/>
              <w:rPr>
                <w:rFonts w:ascii="Segoe UI" w:hAnsi="Segoe UI" w:eastAsia="宋体" w:cs="Segoe UI"/>
                <w:color w:val="0F1115"/>
                <w:sz w:val="23"/>
                <w:szCs w:val="23"/>
              </w:rPr>
            </w:pPr>
            <w:r>
              <w:rPr>
                <w:rFonts w:ascii="Segoe UI" w:hAnsi="Segoe UI" w:cs="Segoe UI"/>
                <w:color w:val="0F1115"/>
                <w:sz w:val="23"/>
                <w:szCs w:val="23"/>
              </w:rPr>
              <w:t>权重</w:t>
            </w:r>
          </w:p>
        </w:tc>
      </w:tr>
      <w:tr w14:paraId="10DFDDF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0" w:type="dxa"/>
            <w:tcBorders>
              <w:top w:val="single" w:color="auto" w:sz="4" w:space="0"/>
            </w:tcBorders>
            <w:vAlign w:val="center"/>
          </w:tcPr>
          <w:p w14:paraId="0EC0D1D0">
            <w:pPr>
              <w:spacing w:line="375" w:lineRule="atLeast"/>
              <w:rPr>
                <w:rFonts w:ascii="Segoe UI" w:hAnsi="Segoe UI" w:eastAsia="宋体" w:cs="Segoe UI"/>
                <w:color w:val="0F1115"/>
                <w:sz w:val="23"/>
                <w:szCs w:val="23"/>
              </w:rPr>
            </w:pPr>
            <w:r>
              <w:rPr>
                <w:rFonts w:ascii="Segoe UI" w:hAnsi="Segoe UI" w:cs="Segoe UI"/>
                <w:color w:val="0F1115"/>
                <w:sz w:val="23"/>
                <w:szCs w:val="23"/>
              </w:rPr>
              <w:t>价格部分</w:t>
            </w:r>
          </w:p>
        </w:tc>
        <w:tc>
          <w:tcPr>
            <w:tcW w:w="2701" w:type="dxa"/>
            <w:tcBorders>
              <w:top w:val="single" w:color="auto" w:sz="4" w:space="0"/>
            </w:tcBorders>
            <w:vAlign w:val="center"/>
          </w:tcPr>
          <w:p w14:paraId="506B2604">
            <w:pPr>
              <w:spacing w:line="375" w:lineRule="atLeast"/>
              <w:rPr>
                <w:rFonts w:ascii="Segoe UI" w:hAnsi="Segoe UI" w:eastAsia="宋体" w:cs="Segoe UI"/>
                <w:color w:val="0F1115"/>
                <w:sz w:val="23"/>
                <w:szCs w:val="23"/>
              </w:rPr>
            </w:pPr>
            <w:r>
              <w:rPr>
                <w:rFonts w:hint="eastAsia" w:ascii="Segoe UI" w:hAnsi="Segoe UI" w:cs="Segoe UI"/>
                <w:color w:val="0F1115"/>
                <w:sz w:val="23"/>
                <w:szCs w:val="23"/>
              </w:rPr>
              <w:t>20</w:t>
            </w:r>
            <w:r>
              <w:rPr>
                <w:rFonts w:ascii="Segoe UI" w:hAnsi="Segoe UI" w:cs="Segoe UI"/>
                <w:color w:val="0F1115"/>
                <w:sz w:val="23"/>
                <w:szCs w:val="23"/>
              </w:rPr>
              <w:t>分</w:t>
            </w:r>
          </w:p>
        </w:tc>
        <w:tc>
          <w:tcPr>
            <w:tcW w:w="2701" w:type="dxa"/>
            <w:tcBorders>
              <w:top w:val="single" w:color="auto" w:sz="4" w:space="0"/>
            </w:tcBorders>
            <w:vAlign w:val="center"/>
          </w:tcPr>
          <w:p w14:paraId="3F2B1FEC">
            <w:pPr>
              <w:spacing w:line="375" w:lineRule="atLeast"/>
              <w:rPr>
                <w:rFonts w:ascii="Segoe UI" w:hAnsi="Segoe UI" w:eastAsia="宋体" w:cs="Segoe UI"/>
                <w:color w:val="0F1115"/>
                <w:sz w:val="23"/>
                <w:szCs w:val="23"/>
              </w:rPr>
            </w:pPr>
            <w:r>
              <w:rPr>
                <w:rFonts w:hint="eastAsia" w:ascii="Segoe UI" w:hAnsi="Segoe UI" w:cs="Segoe UI"/>
                <w:color w:val="0F1115"/>
                <w:sz w:val="23"/>
                <w:szCs w:val="23"/>
              </w:rPr>
              <w:t>20</w:t>
            </w:r>
            <w:r>
              <w:rPr>
                <w:rFonts w:ascii="Segoe UI" w:hAnsi="Segoe UI" w:cs="Segoe UI"/>
                <w:color w:val="0F1115"/>
                <w:sz w:val="23"/>
                <w:szCs w:val="23"/>
              </w:rPr>
              <w:t>%</w:t>
            </w:r>
          </w:p>
        </w:tc>
      </w:tr>
      <w:tr w14:paraId="64DD37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0" w:type="dxa"/>
            <w:vAlign w:val="center"/>
          </w:tcPr>
          <w:p w14:paraId="3F2A89B8">
            <w:pPr>
              <w:spacing w:line="375" w:lineRule="atLeast"/>
              <w:rPr>
                <w:rFonts w:ascii="Segoe UI" w:hAnsi="Segoe UI" w:eastAsia="宋体" w:cs="Segoe UI"/>
                <w:color w:val="0F1115"/>
                <w:sz w:val="23"/>
                <w:szCs w:val="23"/>
              </w:rPr>
            </w:pPr>
            <w:r>
              <w:rPr>
                <w:rFonts w:ascii="Segoe UI" w:hAnsi="Segoe UI" w:cs="Segoe UI"/>
                <w:color w:val="0F1115"/>
                <w:sz w:val="23"/>
                <w:szCs w:val="23"/>
              </w:rPr>
              <w:t>技术部分（设计能力）</w:t>
            </w:r>
          </w:p>
        </w:tc>
        <w:tc>
          <w:tcPr>
            <w:tcW w:w="2701" w:type="dxa"/>
            <w:vAlign w:val="center"/>
          </w:tcPr>
          <w:p w14:paraId="6CAA4C5A">
            <w:pPr>
              <w:spacing w:line="375" w:lineRule="atLeast"/>
              <w:rPr>
                <w:rFonts w:ascii="Segoe UI" w:hAnsi="Segoe UI" w:eastAsia="宋体" w:cs="Segoe UI"/>
                <w:color w:val="0F1115"/>
                <w:sz w:val="23"/>
                <w:szCs w:val="23"/>
              </w:rPr>
            </w:pPr>
            <w:r>
              <w:rPr>
                <w:rStyle w:val="7"/>
                <w:rFonts w:hint="eastAsia" w:ascii="Segoe UI" w:hAnsi="Segoe UI" w:cs="Segoe UI"/>
                <w:color w:val="0F1115"/>
                <w:sz w:val="23"/>
                <w:szCs w:val="23"/>
              </w:rPr>
              <w:t>60</w:t>
            </w:r>
            <w:r>
              <w:rPr>
                <w:rStyle w:val="7"/>
                <w:rFonts w:ascii="Segoe UI" w:hAnsi="Segoe UI" w:cs="Segoe UI"/>
                <w:color w:val="0F1115"/>
                <w:sz w:val="23"/>
                <w:szCs w:val="23"/>
              </w:rPr>
              <w:t>分</w:t>
            </w:r>
          </w:p>
        </w:tc>
        <w:tc>
          <w:tcPr>
            <w:tcW w:w="2701" w:type="dxa"/>
            <w:vAlign w:val="center"/>
          </w:tcPr>
          <w:p w14:paraId="06426377">
            <w:pPr>
              <w:spacing w:line="375" w:lineRule="atLeast"/>
              <w:rPr>
                <w:rFonts w:ascii="Segoe UI" w:hAnsi="Segoe UI" w:eastAsia="宋体" w:cs="Segoe UI"/>
                <w:color w:val="0F1115"/>
                <w:sz w:val="23"/>
                <w:szCs w:val="23"/>
              </w:rPr>
            </w:pPr>
            <w:r>
              <w:rPr>
                <w:rStyle w:val="7"/>
                <w:rFonts w:hint="eastAsia" w:ascii="Segoe UI" w:hAnsi="Segoe UI" w:cs="Segoe UI"/>
                <w:color w:val="0F1115"/>
                <w:sz w:val="23"/>
                <w:szCs w:val="23"/>
              </w:rPr>
              <w:t>60</w:t>
            </w:r>
            <w:r>
              <w:rPr>
                <w:rStyle w:val="7"/>
                <w:rFonts w:ascii="Segoe UI" w:hAnsi="Segoe UI" w:cs="Segoe UI"/>
                <w:color w:val="0F1115"/>
                <w:sz w:val="23"/>
                <w:szCs w:val="23"/>
              </w:rPr>
              <w:t>%</w:t>
            </w:r>
          </w:p>
        </w:tc>
      </w:tr>
      <w:tr w14:paraId="43D307E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0" w:type="dxa"/>
            <w:vAlign w:val="center"/>
          </w:tcPr>
          <w:p w14:paraId="55088D49">
            <w:pPr>
              <w:spacing w:line="375" w:lineRule="atLeast"/>
              <w:rPr>
                <w:rFonts w:ascii="Segoe UI" w:hAnsi="Segoe UI" w:eastAsia="宋体" w:cs="Segoe UI"/>
                <w:color w:val="0F1115"/>
                <w:sz w:val="23"/>
                <w:szCs w:val="23"/>
              </w:rPr>
            </w:pPr>
            <w:r>
              <w:rPr>
                <w:rFonts w:ascii="Segoe UI" w:hAnsi="Segoe UI" w:cs="Segoe UI"/>
                <w:color w:val="0F1115"/>
                <w:sz w:val="23"/>
                <w:szCs w:val="23"/>
              </w:rPr>
              <w:t>商务部分</w:t>
            </w:r>
          </w:p>
        </w:tc>
        <w:tc>
          <w:tcPr>
            <w:tcW w:w="2701" w:type="dxa"/>
            <w:vAlign w:val="center"/>
          </w:tcPr>
          <w:p w14:paraId="1F94BBB2">
            <w:pPr>
              <w:spacing w:line="375" w:lineRule="atLeast"/>
              <w:rPr>
                <w:rFonts w:ascii="Segoe UI" w:hAnsi="Segoe UI" w:eastAsia="宋体" w:cs="Segoe UI"/>
                <w:color w:val="0F1115"/>
                <w:sz w:val="23"/>
                <w:szCs w:val="23"/>
              </w:rPr>
            </w:pPr>
            <w:r>
              <w:rPr>
                <w:rFonts w:ascii="Segoe UI" w:hAnsi="Segoe UI" w:cs="Segoe UI"/>
                <w:color w:val="0F1115"/>
                <w:sz w:val="23"/>
                <w:szCs w:val="23"/>
              </w:rPr>
              <w:t>20分</w:t>
            </w:r>
          </w:p>
        </w:tc>
        <w:tc>
          <w:tcPr>
            <w:tcW w:w="2701" w:type="dxa"/>
            <w:vAlign w:val="center"/>
          </w:tcPr>
          <w:p w14:paraId="481DCF4B">
            <w:pPr>
              <w:spacing w:line="375" w:lineRule="atLeast"/>
              <w:rPr>
                <w:rFonts w:ascii="Segoe UI" w:hAnsi="Segoe UI" w:eastAsia="宋体" w:cs="Segoe UI"/>
                <w:color w:val="0F1115"/>
                <w:sz w:val="23"/>
                <w:szCs w:val="23"/>
              </w:rPr>
            </w:pPr>
            <w:r>
              <w:rPr>
                <w:rFonts w:ascii="Segoe UI" w:hAnsi="Segoe UI" w:cs="Segoe UI"/>
                <w:color w:val="0F1115"/>
                <w:sz w:val="23"/>
                <w:szCs w:val="23"/>
              </w:rPr>
              <w:t>20%</w:t>
            </w:r>
          </w:p>
        </w:tc>
      </w:tr>
      <w:tr w14:paraId="1E3855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700" w:type="dxa"/>
            <w:vAlign w:val="center"/>
          </w:tcPr>
          <w:p w14:paraId="078ABA4F">
            <w:pPr>
              <w:spacing w:line="375" w:lineRule="atLeast"/>
              <w:rPr>
                <w:rFonts w:ascii="Segoe UI" w:hAnsi="Segoe UI" w:eastAsia="宋体" w:cs="Segoe UI"/>
                <w:color w:val="0F1115"/>
                <w:sz w:val="23"/>
                <w:szCs w:val="23"/>
              </w:rPr>
            </w:pPr>
            <w:r>
              <w:rPr>
                <w:rStyle w:val="7"/>
                <w:rFonts w:ascii="Segoe UI" w:hAnsi="Segoe UI" w:cs="Segoe UI"/>
                <w:color w:val="0F1115"/>
                <w:sz w:val="23"/>
                <w:szCs w:val="23"/>
              </w:rPr>
              <w:t>合计</w:t>
            </w:r>
          </w:p>
        </w:tc>
        <w:tc>
          <w:tcPr>
            <w:tcW w:w="2701" w:type="dxa"/>
            <w:vAlign w:val="center"/>
          </w:tcPr>
          <w:p w14:paraId="2727CF52">
            <w:pPr>
              <w:spacing w:line="375" w:lineRule="atLeast"/>
              <w:rPr>
                <w:rFonts w:ascii="Segoe UI" w:hAnsi="Segoe UI" w:eastAsia="宋体" w:cs="Segoe UI"/>
                <w:color w:val="0F1115"/>
                <w:sz w:val="23"/>
                <w:szCs w:val="23"/>
              </w:rPr>
            </w:pPr>
            <w:r>
              <w:rPr>
                <w:rStyle w:val="7"/>
                <w:rFonts w:ascii="Segoe UI" w:hAnsi="Segoe UI" w:cs="Segoe UI"/>
                <w:color w:val="0F1115"/>
                <w:sz w:val="23"/>
                <w:szCs w:val="23"/>
              </w:rPr>
              <w:t>100分</w:t>
            </w:r>
          </w:p>
        </w:tc>
        <w:tc>
          <w:tcPr>
            <w:tcW w:w="2701" w:type="dxa"/>
            <w:vAlign w:val="center"/>
          </w:tcPr>
          <w:p w14:paraId="3E317D90">
            <w:pPr>
              <w:spacing w:line="375" w:lineRule="atLeast"/>
              <w:rPr>
                <w:rFonts w:ascii="Segoe UI" w:hAnsi="Segoe UI" w:eastAsia="宋体" w:cs="Segoe UI"/>
                <w:color w:val="0F1115"/>
                <w:sz w:val="23"/>
                <w:szCs w:val="23"/>
              </w:rPr>
            </w:pPr>
            <w:r>
              <w:rPr>
                <w:rStyle w:val="7"/>
                <w:rFonts w:ascii="Segoe UI" w:hAnsi="Segoe UI" w:cs="Segoe UI"/>
                <w:color w:val="0F1115"/>
                <w:sz w:val="23"/>
                <w:szCs w:val="23"/>
              </w:rPr>
              <w:t>100%</w:t>
            </w:r>
          </w:p>
        </w:tc>
      </w:tr>
    </w:tbl>
    <w:p w14:paraId="2ECD5381">
      <w:pPr>
        <w:pStyle w:val="10"/>
        <w:ind w:left="420" w:firstLine="0" w:firstLineChars="0"/>
      </w:pPr>
    </w:p>
    <w:p w14:paraId="0C894C20">
      <w:pPr>
        <w:pStyle w:val="10"/>
        <w:numPr>
          <w:ilvl w:val="0"/>
          <w:numId w:val="1"/>
        </w:numPr>
        <w:ind w:firstLineChars="0"/>
        <w:jc w:val="left"/>
      </w:pPr>
      <w:r>
        <w:rPr>
          <w:rFonts w:hint="eastAsia"/>
        </w:rPr>
        <w:t>评 定 内 容 及 标 准</w:t>
      </w:r>
    </w:p>
    <w:p w14:paraId="59EDD71B">
      <w:pPr>
        <w:pStyle w:val="10"/>
        <w:ind w:left="420" w:firstLine="0" w:firstLineChars="0"/>
        <w:jc w:val="left"/>
      </w:pPr>
    </w:p>
    <w:tbl>
      <w:tblPr>
        <w:tblStyle w:val="4"/>
        <w:tblW w:w="929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0"/>
        <w:gridCol w:w="929"/>
      </w:tblGrid>
      <w:tr w14:paraId="005D7F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8370" w:type="dxa"/>
            <w:vAlign w:val="center"/>
          </w:tcPr>
          <w:p w14:paraId="26C789DD">
            <w:pPr>
              <w:spacing w:line="276" w:lineRule="auto"/>
              <w:jc w:val="center"/>
              <w:rPr>
                <w:b/>
                <w:szCs w:val="21"/>
              </w:rPr>
            </w:pPr>
            <w:r>
              <w:rPr>
                <w:rFonts w:hint="eastAsia"/>
                <w:b/>
                <w:szCs w:val="21"/>
              </w:rPr>
              <w:t>评 定 内 容 及 标 准</w:t>
            </w:r>
          </w:p>
        </w:tc>
        <w:tc>
          <w:tcPr>
            <w:tcW w:w="929" w:type="dxa"/>
            <w:vAlign w:val="center"/>
          </w:tcPr>
          <w:p w14:paraId="69C7656B">
            <w:pPr>
              <w:spacing w:line="276" w:lineRule="auto"/>
              <w:jc w:val="center"/>
              <w:rPr>
                <w:b/>
                <w:szCs w:val="21"/>
              </w:rPr>
            </w:pPr>
            <w:r>
              <w:rPr>
                <w:rFonts w:hint="eastAsia"/>
                <w:b/>
                <w:szCs w:val="21"/>
              </w:rPr>
              <w:t>得分</w:t>
            </w:r>
          </w:p>
        </w:tc>
      </w:tr>
      <w:tr w14:paraId="0A0B67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299" w:type="dxa"/>
            <w:gridSpan w:val="2"/>
            <w:vAlign w:val="center"/>
          </w:tcPr>
          <w:p w14:paraId="05B92D82">
            <w:pPr>
              <w:spacing w:line="276" w:lineRule="auto"/>
              <w:jc w:val="center"/>
              <w:rPr>
                <w:b/>
                <w:szCs w:val="21"/>
              </w:rPr>
            </w:pPr>
            <w:r>
              <w:rPr>
                <w:rFonts w:hint="eastAsia"/>
                <w:b/>
                <w:szCs w:val="21"/>
              </w:rPr>
              <w:t>商务部分（20分）</w:t>
            </w:r>
          </w:p>
        </w:tc>
      </w:tr>
      <w:tr w14:paraId="04A2C0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8370" w:type="dxa"/>
            <w:vAlign w:val="center"/>
          </w:tcPr>
          <w:p w14:paraId="4BA15DBD">
            <w:pPr>
              <w:spacing w:line="276" w:lineRule="auto"/>
              <w:ind w:firstLine="420" w:firstLineChars="200"/>
              <w:jc w:val="left"/>
              <w:rPr>
                <w:szCs w:val="21"/>
              </w:rPr>
            </w:pPr>
            <w:r>
              <w:rPr>
                <w:rFonts w:hint="eastAsia"/>
                <w:szCs w:val="21"/>
              </w:rPr>
              <w:t>1.企业业绩</w:t>
            </w:r>
          </w:p>
          <w:p w14:paraId="5DE94055">
            <w:pPr>
              <w:spacing w:line="276" w:lineRule="auto"/>
              <w:ind w:firstLine="420" w:firstLineChars="200"/>
              <w:jc w:val="left"/>
              <w:rPr>
                <w:szCs w:val="21"/>
              </w:rPr>
            </w:pPr>
            <w:r>
              <w:rPr>
                <w:rFonts w:hint="eastAsia"/>
                <w:szCs w:val="21"/>
              </w:rPr>
              <w:t>供应商提供近五年（以合同签订时间为准）具有随访系统、医疗卫生机构科研平台、健康管理系统或临床数据平台建设案例，三甲医院案例每提供一项得3分，最高得6分。业绩证明材料须提供与最终用户签订的合同（包括但不限于合同首页、项目内容所在页、金额所在页、签字盖章页）及项目支付证明材料（银行回单或发票），不提供或提供不全的不得分。</w:t>
            </w:r>
          </w:p>
        </w:tc>
        <w:tc>
          <w:tcPr>
            <w:tcW w:w="929" w:type="dxa"/>
            <w:vAlign w:val="center"/>
          </w:tcPr>
          <w:p w14:paraId="6D5BA00F">
            <w:pPr>
              <w:spacing w:line="276" w:lineRule="auto"/>
              <w:jc w:val="center"/>
              <w:rPr>
                <w:szCs w:val="21"/>
              </w:rPr>
            </w:pPr>
            <w:r>
              <w:rPr>
                <w:rFonts w:hint="eastAsia"/>
                <w:szCs w:val="21"/>
              </w:rPr>
              <w:t>6分</w:t>
            </w:r>
          </w:p>
        </w:tc>
      </w:tr>
      <w:tr w14:paraId="53CB571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8370" w:type="dxa"/>
            <w:vAlign w:val="center"/>
          </w:tcPr>
          <w:p w14:paraId="32A5309B">
            <w:pPr>
              <w:spacing w:line="276" w:lineRule="auto"/>
              <w:ind w:firstLine="420" w:firstLineChars="200"/>
              <w:jc w:val="left"/>
              <w:rPr>
                <w:szCs w:val="21"/>
              </w:rPr>
            </w:pPr>
            <w:r>
              <w:rPr>
                <w:rFonts w:hint="eastAsia"/>
                <w:szCs w:val="21"/>
              </w:rPr>
              <w:t>2.企业资质</w:t>
            </w:r>
          </w:p>
          <w:p w14:paraId="712F452C">
            <w:pPr>
              <w:spacing w:line="276" w:lineRule="auto"/>
              <w:ind w:firstLine="420" w:firstLineChars="200"/>
              <w:jc w:val="left"/>
              <w:rPr>
                <w:szCs w:val="21"/>
              </w:rPr>
            </w:pPr>
            <w:r>
              <w:rPr>
                <w:rFonts w:hint="eastAsia"/>
                <w:szCs w:val="21"/>
              </w:rPr>
              <w:t>具备有效的ISO9001质量管理体系认证证书（认证范围须包含“软件开发”或“IT服务”相关内容）。</w:t>
            </w:r>
          </w:p>
          <w:p w14:paraId="3447BAAD">
            <w:pPr>
              <w:spacing w:line="276" w:lineRule="auto"/>
              <w:ind w:firstLine="420" w:firstLineChars="200"/>
              <w:jc w:val="left"/>
              <w:rPr>
                <w:szCs w:val="21"/>
              </w:rPr>
            </w:pPr>
            <w:r>
              <w:rPr>
                <w:rFonts w:hint="eastAsia"/>
                <w:szCs w:val="21"/>
              </w:rPr>
              <w:t>包含“软件开发”或“IT服务”相关内容得4分，不包含不得分。须提供相关证明材料，不提供的不得分。</w:t>
            </w:r>
          </w:p>
        </w:tc>
        <w:tc>
          <w:tcPr>
            <w:tcW w:w="929" w:type="dxa"/>
            <w:vAlign w:val="center"/>
          </w:tcPr>
          <w:p w14:paraId="2928F331">
            <w:pPr>
              <w:spacing w:line="276" w:lineRule="auto"/>
              <w:jc w:val="center"/>
              <w:rPr>
                <w:szCs w:val="21"/>
              </w:rPr>
            </w:pPr>
            <w:r>
              <w:rPr>
                <w:rFonts w:hint="eastAsia"/>
                <w:szCs w:val="21"/>
              </w:rPr>
              <w:t>4分</w:t>
            </w:r>
          </w:p>
        </w:tc>
      </w:tr>
      <w:tr w14:paraId="22333D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8370" w:type="dxa"/>
            <w:vAlign w:val="center"/>
          </w:tcPr>
          <w:p w14:paraId="733F2F74">
            <w:pPr>
              <w:spacing w:line="276" w:lineRule="auto"/>
              <w:ind w:firstLine="420" w:firstLineChars="200"/>
              <w:jc w:val="left"/>
              <w:rPr>
                <w:szCs w:val="21"/>
              </w:rPr>
            </w:pPr>
            <w:r>
              <w:rPr>
                <w:rFonts w:hint="eastAsia"/>
                <w:szCs w:val="21"/>
              </w:rPr>
              <w:t>3.项目团队专业背景</w:t>
            </w:r>
          </w:p>
          <w:p w14:paraId="0DE45BE8">
            <w:pPr>
              <w:spacing w:line="276" w:lineRule="auto"/>
              <w:ind w:firstLine="420" w:firstLineChars="200"/>
              <w:jc w:val="left"/>
              <w:rPr>
                <w:szCs w:val="21"/>
              </w:rPr>
            </w:pPr>
            <w:r>
              <w:rPr>
                <w:rFonts w:hint="eastAsia"/>
                <w:szCs w:val="21"/>
              </w:rPr>
              <w:t>①项目负责人:具有5年以上医疗信息化或科研项目管理经验，得3分。（须提供人员简历、业绩证明，不提供或提供不全的不得分。）</w:t>
            </w:r>
          </w:p>
          <w:p w14:paraId="44A3DA95">
            <w:pPr>
              <w:spacing w:line="276" w:lineRule="auto"/>
              <w:ind w:firstLine="420" w:firstLineChars="200"/>
              <w:jc w:val="left"/>
              <w:rPr>
                <w:szCs w:val="21"/>
              </w:rPr>
            </w:pPr>
            <w:r>
              <w:rPr>
                <w:rFonts w:hint="eastAsia"/>
                <w:szCs w:val="21"/>
              </w:rPr>
              <w:t>②项目专业背景:团队需同时配备医学背景人员和软件技术人员，得3分。（医学背景人员须提供医学相关专业学历证书或医疗行业从业经历证明；软件技术人员须提供计算机/软件相关专业学历证书或相关资格证书。满足同时配备医学背景人员和软件技术人员得3分，</w:t>
            </w:r>
            <w:r>
              <w:rPr>
                <w:rFonts w:ascii="Segoe UI" w:hAnsi="Segoe UI" w:cs="Segoe UI"/>
                <w:color w:val="0F1115"/>
                <w:shd w:val="clear" w:color="auto" w:fill="FFFFFF"/>
              </w:rPr>
              <w:t>仅满足一项或均不满足者，不得分</w:t>
            </w:r>
            <w:r>
              <w:rPr>
                <w:rFonts w:hint="eastAsia"/>
                <w:szCs w:val="21"/>
              </w:rPr>
              <w:t>。）</w:t>
            </w:r>
          </w:p>
          <w:p w14:paraId="07C7C4DF">
            <w:pPr>
              <w:spacing w:line="276" w:lineRule="auto"/>
              <w:ind w:firstLine="420" w:firstLineChars="200"/>
              <w:jc w:val="left"/>
              <w:rPr>
                <w:szCs w:val="21"/>
              </w:rPr>
            </w:pPr>
            <w:r>
              <w:rPr>
                <w:rFonts w:hint="eastAsia"/>
                <w:szCs w:val="21"/>
              </w:rPr>
              <w:t>③技术核心团队:核心技术团队本科以上学历占比应超过50%，得2分；≥30%得1分；低于30%不得分。（须提供核心技术团队人员学历证书复印件及学历汇总表。）</w:t>
            </w:r>
          </w:p>
          <w:p w14:paraId="008540A2">
            <w:pPr>
              <w:spacing w:line="276" w:lineRule="auto"/>
              <w:ind w:firstLine="420" w:firstLineChars="200"/>
              <w:jc w:val="left"/>
              <w:rPr>
                <w:szCs w:val="21"/>
              </w:rPr>
            </w:pPr>
            <w:r>
              <w:rPr>
                <w:rFonts w:hint="eastAsia"/>
                <w:szCs w:val="21"/>
              </w:rPr>
              <w:t>④团队成员硕士以上可加分，每人加1分，最高加2分。（须提供硕士学位证书复印件，不提供不得分。）</w:t>
            </w:r>
          </w:p>
        </w:tc>
        <w:tc>
          <w:tcPr>
            <w:tcW w:w="929" w:type="dxa"/>
            <w:vAlign w:val="center"/>
          </w:tcPr>
          <w:p w14:paraId="3F93CB14">
            <w:pPr>
              <w:spacing w:line="276" w:lineRule="auto"/>
              <w:jc w:val="center"/>
              <w:rPr>
                <w:rFonts w:eastAsia="宋体"/>
                <w:szCs w:val="21"/>
              </w:rPr>
            </w:pPr>
            <w:r>
              <w:rPr>
                <w:rFonts w:hint="eastAsia"/>
                <w:szCs w:val="21"/>
              </w:rPr>
              <w:t>10分</w:t>
            </w:r>
          </w:p>
        </w:tc>
      </w:tr>
      <w:tr w14:paraId="20FF64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299" w:type="dxa"/>
            <w:gridSpan w:val="2"/>
            <w:vAlign w:val="center"/>
          </w:tcPr>
          <w:p w14:paraId="2ED4EF0E">
            <w:pPr>
              <w:spacing w:line="276" w:lineRule="auto"/>
              <w:ind w:firstLine="420" w:firstLineChars="200"/>
              <w:jc w:val="left"/>
              <w:rPr>
                <w:szCs w:val="21"/>
              </w:rPr>
            </w:pPr>
            <w:r>
              <w:rPr>
                <w:rFonts w:hint="eastAsia"/>
                <w:szCs w:val="21"/>
              </w:rPr>
              <w:t>供应商提供的资料应清晰可辨，因资料图片模糊无法辨认导致的后果将由供应商自行承担。</w:t>
            </w:r>
          </w:p>
        </w:tc>
      </w:tr>
      <w:tr w14:paraId="1FB632F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9299" w:type="dxa"/>
            <w:gridSpan w:val="2"/>
            <w:vAlign w:val="center"/>
          </w:tcPr>
          <w:p w14:paraId="3DD47DE1">
            <w:pPr>
              <w:spacing w:line="276" w:lineRule="auto"/>
              <w:jc w:val="center"/>
              <w:rPr>
                <w:b/>
                <w:szCs w:val="21"/>
              </w:rPr>
            </w:pPr>
            <w:r>
              <w:rPr>
                <w:rFonts w:hint="eastAsia"/>
                <w:b/>
                <w:szCs w:val="21"/>
              </w:rPr>
              <w:t>二、技术、服务部分（60分）</w:t>
            </w:r>
          </w:p>
        </w:tc>
      </w:tr>
      <w:tr w14:paraId="3E0031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8370" w:type="dxa"/>
            <w:vAlign w:val="center"/>
          </w:tcPr>
          <w:p w14:paraId="4D5DA23A">
            <w:pPr>
              <w:spacing w:line="276" w:lineRule="auto"/>
              <w:ind w:firstLine="420" w:firstLineChars="200"/>
              <w:jc w:val="left"/>
              <w:rPr>
                <w:rFonts w:hint="eastAsia" w:eastAsiaTheme="minorEastAsia"/>
                <w:szCs w:val="21"/>
                <w:lang w:eastAsia="zh-CN"/>
              </w:rPr>
            </w:pPr>
            <w:r>
              <w:rPr>
                <w:rFonts w:hint="eastAsia"/>
                <w:szCs w:val="21"/>
              </w:rPr>
              <w:t>1.</w:t>
            </w:r>
            <w:r>
              <w:rPr>
                <w:rFonts w:hint="eastAsia"/>
              </w:rPr>
              <w:t xml:space="preserve"> </w:t>
            </w:r>
            <w:r>
              <w:rPr>
                <w:rFonts w:hint="eastAsia"/>
                <w:szCs w:val="21"/>
              </w:rPr>
              <w:t>需求理解与方案设计</w:t>
            </w:r>
          </w:p>
          <w:p w14:paraId="7876B3BE">
            <w:pPr>
              <w:spacing w:line="276" w:lineRule="auto"/>
              <w:ind w:firstLine="420" w:firstLineChars="200"/>
              <w:jc w:val="left"/>
              <w:rPr>
                <w:rFonts w:hint="default" w:eastAsiaTheme="minorEastAsia"/>
                <w:szCs w:val="21"/>
                <w:lang w:val="en-US" w:eastAsia="zh-CN"/>
              </w:rPr>
            </w:pPr>
            <w:r>
              <w:rPr>
                <w:rFonts w:hint="eastAsia"/>
                <w:szCs w:val="21"/>
              </w:rPr>
              <w:t>（1）对科研项目全流程理解准确，功能设计方案贴合临床科研实际场景，逻辑清晰、可操作性强。</w:t>
            </w:r>
            <w:r>
              <w:rPr>
                <w:rFonts w:hint="eastAsia"/>
                <w:szCs w:val="21"/>
                <w:lang w:eastAsia="zh-CN"/>
              </w:rPr>
              <w:t>（总分</w:t>
            </w:r>
            <w:r>
              <w:rPr>
                <w:rFonts w:hint="eastAsia"/>
                <w:szCs w:val="21"/>
                <w:lang w:val="en-US" w:eastAsia="zh-CN"/>
              </w:rPr>
              <w:t>15分)</w:t>
            </w:r>
          </w:p>
          <w:p w14:paraId="5AFCCBB1">
            <w:pPr>
              <w:spacing w:line="276" w:lineRule="auto"/>
              <w:ind w:firstLine="420" w:firstLineChars="200"/>
              <w:jc w:val="left"/>
              <w:rPr>
                <w:szCs w:val="21"/>
              </w:rPr>
            </w:pPr>
            <w:bookmarkStart w:id="0" w:name="_GoBack"/>
            <w:bookmarkEnd w:id="0"/>
            <w:r>
              <w:rPr>
                <w:rFonts w:hint="eastAsia"/>
                <w:szCs w:val="21"/>
              </w:rPr>
              <w:t>对科研项目全流程理解准确，功能设计方案贴合临床科研实际场景，逻辑清晰、可操作性强，得15分；</w:t>
            </w:r>
          </w:p>
          <w:p w14:paraId="62C02F8D">
            <w:pPr>
              <w:spacing w:line="276" w:lineRule="auto"/>
              <w:ind w:firstLine="420" w:firstLineChars="200"/>
              <w:jc w:val="left"/>
              <w:rPr>
                <w:szCs w:val="21"/>
              </w:rPr>
            </w:pPr>
            <w:r>
              <w:rPr>
                <w:rFonts w:hint="eastAsia"/>
                <w:szCs w:val="21"/>
              </w:rPr>
              <w:t>对科研项目全流程理解基本准确，功能设计方案基本贴合临床科研实际场景，逻辑较清晰、具有一定可操作性，得10分；</w:t>
            </w:r>
          </w:p>
          <w:p w14:paraId="7538155E">
            <w:pPr>
              <w:spacing w:line="276" w:lineRule="auto"/>
              <w:ind w:firstLine="420" w:firstLineChars="200"/>
              <w:jc w:val="left"/>
              <w:rPr>
                <w:szCs w:val="21"/>
              </w:rPr>
            </w:pPr>
            <w:r>
              <w:rPr>
                <w:rFonts w:hint="eastAsia"/>
                <w:szCs w:val="21"/>
              </w:rPr>
              <w:t>对科研项目全流程理解不够准确，功能设计方案与临床科研实际场景贴合度一般，逻辑性和可操作性较差，得5分；</w:t>
            </w:r>
          </w:p>
          <w:p w14:paraId="01B9E653">
            <w:pPr>
              <w:spacing w:line="276" w:lineRule="auto"/>
              <w:ind w:firstLine="420" w:firstLineChars="200"/>
              <w:jc w:val="left"/>
              <w:rPr>
                <w:szCs w:val="21"/>
              </w:rPr>
            </w:pPr>
            <w:r>
              <w:rPr>
                <w:rFonts w:hint="eastAsia"/>
                <w:szCs w:val="21"/>
              </w:rPr>
              <w:t>未提供不得分。</w:t>
            </w:r>
          </w:p>
          <w:p w14:paraId="38EBBF95">
            <w:pPr>
              <w:spacing w:line="276" w:lineRule="auto"/>
              <w:ind w:firstLine="420" w:firstLineChars="200"/>
              <w:jc w:val="left"/>
              <w:rPr>
                <w:szCs w:val="21"/>
              </w:rPr>
            </w:pPr>
            <w:r>
              <w:rPr>
                <w:rFonts w:hint="eastAsia"/>
                <w:szCs w:val="21"/>
              </w:rPr>
              <w:t>（2）技术架构支持多业务流程整合及AI扩展性。（</w:t>
            </w:r>
            <w:r>
              <w:rPr>
                <w:rFonts w:hint="eastAsia"/>
                <w:szCs w:val="21"/>
                <w:lang w:eastAsia="zh-CN"/>
              </w:rPr>
              <w:t>总分</w:t>
            </w:r>
            <w:r>
              <w:rPr>
                <w:rFonts w:hint="eastAsia"/>
                <w:szCs w:val="21"/>
              </w:rPr>
              <w:t>11分）</w:t>
            </w:r>
          </w:p>
          <w:p w14:paraId="32E79A04">
            <w:pPr>
              <w:spacing w:line="276" w:lineRule="auto"/>
              <w:ind w:firstLine="420" w:firstLineChars="200"/>
              <w:jc w:val="left"/>
              <w:rPr>
                <w:szCs w:val="21"/>
              </w:rPr>
            </w:pPr>
            <w:r>
              <w:rPr>
                <w:rFonts w:hint="eastAsia"/>
                <w:szCs w:val="21"/>
              </w:rPr>
              <w:t>技术架构支持多业务流程整合及AI扩展性，方案完整详实、可行性强，得11分；</w:t>
            </w:r>
          </w:p>
          <w:p w14:paraId="59434791">
            <w:pPr>
              <w:spacing w:line="276" w:lineRule="auto"/>
              <w:ind w:firstLine="420" w:firstLineChars="200"/>
              <w:jc w:val="left"/>
              <w:rPr>
                <w:szCs w:val="21"/>
              </w:rPr>
            </w:pPr>
            <w:r>
              <w:rPr>
                <w:rFonts w:hint="eastAsia"/>
                <w:szCs w:val="21"/>
              </w:rPr>
              <w:t>技术架构基本支持多业务流程整合及AI扩展性，方案较完整、具有一定可行性，得7分；</w:t>
            </w:r>
          </w:p>
          <w:p w14:paraId="67CE3E64">
            <w:pPr>
              <w:spacing w:line="276" w:lineRule="auto"/>
              <w:ind w:firstLine="420" w:firstLineChars="200"/>
              <w:jc w:val="left"/>
              <w:rPr>
                <w:szCs w:val="21"/>
              </w:rPr>
            </w:pPr>
            <w:r>
              <w:rPr>
                <w:rFonts w:hint="eastAsia"/>
                <w:szCs w:val="21"/>
              </w:rPr>
              <w:t>技术架构对多业务流程整合及AI扩展性支持不足，方案不够完整，得3分；</w:t>
            </w:r>
          </w:p>
          <w:p w14:paraId="774F85CF">
            <w:pPr>
              <w:spacing w:line="276" w:lineRule="auto"/>
              <w:ind w:firstLine="420" w:firstLineChars="200"/>
              <w:jc w:val="left"/>
              <w:rPr>
                <w:szCs w:val="21"/>
              </w:rPr>
            </w:pPr>
            <w:r>
              <w:rPr>
                <w:rFonts w:hint="eastAsia"/>
                <w:szCs w:val="21"/>
              </w:rPr>
              <w:t>未提供不得分。</w:t>
            </w:r>
          </w:p>
        </w:tc>
        <w:tc>
          <w:tcPr>
            <w:tcW w:w="929" w:type="dxa"/>
            <w:vAlign w:val="center"/>
          </w:tcPr>
          <w:p w14:paraId="51084079">
            <w:pPr>
              <w:spacing w:line="276" w:lineRule="auto"/>
              <w:jc w:val="center"/>
              <w:rPr>
                <w:szCs w:val="21"/>
              </w:rPr>
            </w:pPr>
            <w:r>
              <w:rPr>
                <w:rFonts w:hint="eastAsia"/>
                <w:szCs w:val="21"/>
              </w:rPr>
              <w:t>26分</w:t>
            </w:r>
          </w:p>
        </w:tc>
      </w:tr>
      <w:tr w14:paraId="40EFBCA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70" w:type="dxa"/>
            <w:vAlign w:val="center"/>
          </w:tcPr>
          <w:p w14:paraId="14D95B6F">
            <w:pPr>
              <w:spacing w:line="276" w:lineRule="auto"/>
              <w:ind w:firstLine="420" w:firstLineChars="200"/>
              <w:jc w:val="left"/>
              <w:rPr>
                <w:szCs w:val="21"/>
              </w:rPr>
            </w:pPr>
            <w:r>
              <w:rPr>
                <w:rFonts w:hint="eastAsia"/>
                <w:szCs w:val="21"/>
              </w:rPr>
              <w:t>2.项目实施计划与设计服务保障</w:t>
            </w:r>
          </w:p>
          <w:p w14:paraId="14AA4BCB">
            <w:pPr>
              <w:spacing w:line="276" w:lineRule="auto"/>
              <w:ind w:firstLine="420" w:firstLineChars="200"/>
              <w:jc w:val="left"/>
              <w:rPr>
                <w:szCs w:val="21"/>
              </w:rPr>
            </w:pPr>
            <w:r>
              <w:rPr>
                <w:rFonts w:hint="eastAsia"/>
                <w:szCs w:val="21"/>
              </w:rPr>
              <w:t>（1）项目实施进度计划安排</w:t>
            </w:r>
          </w:p>
          <w:p w14:paraId="4EC026F3">
            <w:pPr>
              <w:spacing w:line="276" w:lineRule="auto"/>
              <w:ind w:firstLine="420" w:firstLineChars="200"/>
              <w:jc w:val="left"/>
              <w:rPr>
                <w:szCs w:val="21"/>
              </w:rPr>
            </w:pPr>
            <w:r>
              <w:rPr>
                <w:rFonts w:hint="eastAsia"/>
                <w:szCs w:val="21"/>
              </w:rPr>
              <w:t>（2）设计服务进度保障措施</w:t>
            </w:r>
          </w:p>
          <w:p w14:paraId="5BCF816A">
            <w:pPr>
              <w:spacing w:line="276" w:lineRule="auto"/>
              <w:ind w:firstLine="420" w:firstLineChars="200"/>
              <w:jc w:val="left"/>
              <w:rPr>
                <w:szCs w:val="21"/>
              </w:rPr>
            </w:pPr>
            <w:r>
              <w:rPr>
                <w:rFonts w:hint="eastAsia"/>
                <w:szCs w:val="21"/>
              </w:rPr>
              <w:t>（3）设计服务质量保障措施</w:t>
            </w:r>
          </w:p>
          <w:p w14:paraId="579C1AD2">
            <w:pPr>
              <w:spacing w:line="276" w:lineRule="auto"/>
              <w:ind w:firstLine="420" w:firstLineChars="200"/>
              <w:jc w:val="left"/>
              <w:rPr>
                <w:szCs w:val="21"/>
              </w:rPr>
            </w:pPr>
            <w:r>
              <w:rPr>
                <w:rFonts w:hint="eastAsia"/>
                <w:szCs w:val="21"/>
              </w:rPr>
              <w:t>（4）信息安全保障措施</w:t>
            </w:r>
          </w:p>
          <w:p w14:paraId="1E59F8F0">
            <w:pPr>
              <w:spacing w:line="276" w:lineRule="auto"/>
              <w:ind w:firstLine="420" w:firstLineChars="200"/>
              <w:jc w:val="left"/>
              <w:rPr>
                <w:szCs w:val="21"/>
              </w:rPr>
            </w:pPr>
            <w:r>
              <w:rPr>
                <w:rFonts w:hint="eastAsia"/>
                <w:szCs w:val="21"/>
              </w:rPr>
              <w:t>（5）设计服务保密措施</w:t>
            </w:r>
          </w:p>
          <w:p w14:paraId="52DD3E63">
            <w:pPr>
              <w:spacing w:line="276" w:lineRule="auto"/>
              <w:ind w:firstLine="420" w:firstLineChars="200"/>
              <w:jc w:val="left"/>
              <w:rPr>
                <w:szCs w:val="21"/>
              </w:rPr>
            </w:pPr>
            <w:r>
              <w:rPr>
                <w:rFonts w:hint="eastAsia"/>
                <w:szCs w:val="21"/>
              </w:rPr>
              <w:t>（6）交付成果保障措施</w:t>
            </w:r>
          </w:p>
          <w:p w14:paraId="088921A8">
            <w:pPr>
              <w:spacing w:line="276" w:lineRule="auto"/>
              <w:ind w:firstLine="420" w:firstLineChars="200"/>
              <w:jc w:val="left"/>
              <w:rPr>
                <w:szCs w:val="21"/>
              </w:rPr>
            </w:pPr>
            <w:r>
              <w:rPr>
                <w:rFonts w:hint="eastAsia"/>
                <w:szCs w:val="21"/>
              </w:rPr>
              <w:t>（7）设计服务团队人员稳定保障措施</w:t>
            </w:r>
          </w:p>
          <w:p w14:paraId="2455C13A">
            <w:pPr>
              <w:spacing w:line="276" w:lineRule="auto"/>
              <w:ind w:firstLine="420" w:firstLineChars="200"/>
              <w:jc w:val="left"/>
              <w:rPr>
                <w:szCs w:val="21"/>
              </w:rPr>
            </w:pPr>
            <w:r>
              <w:rPr>
                <w:rFonts w:hint="eastAsia"/>
                <w:szCs w:val="21"/>
              </w:rPr>
              <w:t>（8）针对突发事件的应急保障措施</w:t>
            </w:r>
          </w:p>
          <w:p w14:paraId="5418D66B">
            <w:pPr>
              <w:spacing w:line="276" w:lineRule="auto"/>
              <w:ind w:firstLine="420" w:firstLineChars="200"/>
              <w:jc w:val="left"/>
              <w:rPr>
                <w:szCs w:val="21"/>
              </w:rPr>
            </w:pPr>
            <w:r>
              <w:rPr>
                <w:rFonts w:hint="eastAsia"/>
                <w:szCs w:val="21"/>
              </w:rPr>
              <w:t>各项内容每有一项缺失的扣3分，各部分内容中每有一处内容有缺陷的扣1分，扣完为止。本项所称“缺陷”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29" w:type="dxa"/>
            <w:vAlign w:val="center"/>
          </w:tcPr>
          <w:p w14:paraId="093FFEC7">
            <w:pPr>
              <w:spacing w:line="276" w:lineRule="auto"/>
              <w:jc w:val="center"/>
              <w:rPr>
                <w:szCs w:val="21"/>
              </w:rPr>
            </w:pPr>
            <w:r>
              <w:rPr>
                <w:rFonts w:hint="eastAsia"/>
                <w:szCs w:val="21"/>
              </w:rPr>
              <w:t>24分</w:t>
            </w:r>
          </w:p>
        </w:tc>
      </w:tr>
      <w:tr w14:paraId="7FF415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8370" w:type="dxa"/>
            <w:vAlign w:val="center"/>
          </w:tcPr>
          <w:p w14:paraId="1CA31FDE">
            <w:pPr>
              <w:spacing w:line="276" w:lineRule="auto"/>
              <w:ind w:firstLine="420" w:firstLineChars="200"/>
              <w:jc w:val="left"/>
              <w:rPr>
                <w:szCs w:val="21"/>
              </w:rPr>
            </w:pPr>
            <w:r>
              <w:rPr>
                <w:rFonts w:hint="eastAsia"/>
                <w:szCs w:val="21"/>
              </w:rPr>
              <w:t>3.档案管理及服务承诺</w:t>
            </w:r>
          </w:p>
          <w:p w14:paraId="2C515097">
            <w:pPr>
              <w:spacing w:line="276" w:lineRule="auto"/>
              <w:ind w:firstLine="420" w:firstLineChars="200"/>
              <w:jc w:val="left"/>
              <w:rPr>
                <w:szCs w:val="21"/>
              </w:rPr>
            </w:pPr>
            <w:r>
              <w:rPr>
                <w:rFonts w:hint="eastAsia"/>
                <w:szCs w:val="21"/>
              </w:rPr>
              <w:t>（1）项目</w:t>
            </w:r>
            <w:r>
              <w:rPr>
                <w:szCs w:val="21"/>
              </w:rPr>
              <w:t>档案</w:t>
            </w:r>
            <w:r>
              <w:rPr>
                <w:rFonts w:hint="eastAsia"/>
                <w:szCs w:val="21"/>
              </w:rPr>
              <w:t>信息</w:t>
            </w:r>
            <w:r>
              <w:rPr>
                <w:szCs w:val="21"/>
              </w:rPr>
              <w:t>管理制度</w:t>
            </w:r>
          </w:p>
          <w:p w14:paraId="2AED623E">
            <w:pPr>
              <w:spacing w:line="276" w:lineRule="auto"/>
              <w:ind w:firstLine="420" w:firstLineChars="200"/>
              <w:jc w:val="left"/>
              <w:rPr>
                <w:szCs w:val="21"/>
              </w:rPr>
            </w:pPr>
            <w:r>
              <w:rPr>
                <w:rFonts w:hint="eastAsia"/>
                <w:szCs w:val="21"/>
              </w:rPr>
              <w:t>（2）项目设计成果版权及知识产权管理方案</w:t>
            </w:r>
          </w:p>
          <w:p w14:paraId="79C2D003">
            <w:pPr>
              <w:spacing w:line="276" w:lineRule="auto"/>
              <w:ind w:firstLine="420" w:firstLineChars="200"/>
              <w:jc w:val="left"/>
              <w:rPr>
                <w:szCs w:val="21"/>
              </w:rPr>
            </w:pPr>
            <w:r>
              <w:rPr>
                <w:rFonts w:hint="eastAsia"/>
                <w:szCs w:val="21"/>
              </w:rPr>
              <w:t>（3）服务响应时效承诺</w:t>
            </w:r>
          </w:p>
          <w:p w14:paraId="7E61CCD6">
            <w:pPr>
              <w:spacing w:line="276" w:lineRule="auto"/>
              <w:ind w:firstLine="420" w:firstLineChars="200"/>
              <w:jc w:val="left"/>
              <w:rPr>
                <w:szCs w:val="21"/>
              </w:rPr>
            </w:pPr>
            <w:r>
              <w:rPr>
                <w:rFonts w:hint="eastAsia"/>
                <w:szCs w:val="21"/>
              </w:rPr>
              <w:t>（4）服务</w:t>
            </w:r>
            <w:r>
              <w:rPr>
                <w:szCs w:val="21"/>
              </w:rPr>
              <w:t>后期</w:t>
            </w:r>
            <w:r>
              <w:rPr>
                <w:rFonts w:hint="eastAsia"/>
                <w:szCs w:val="21"/>
              </w:rPr>
              <w:t>提供的</w:t>
            </w:r>
            <w:r>
              <w:rPr>
                <w:szCs w:val="21"/>
              </w:rPr>
              <w:t>技术支持</w:t>
            </w:r>
            <w:r>
              <w:rPr>
                <w:rFonts w:hint="eastAsia"/>
                <w:szCs w:val="21"/>
              </w:rPr>
              <w:t>承诺</w:t>
            </w:r>
          </w:p>
          <w:p w14:paraId="15B3E4E7">
            <w:pPr>
              <w:spacing w:line="276" w:lineRule="auto"/>
              <w:ind w:firstLine="420" w:firstLineChars="200"/>
              <w:jc w:val="left"/>
              <w:rPr>
                <w:szCs w:val="21"/>
              </w:rPr>
            </w:pPr>
            <w:r>
              <w:rPr>
                <w:rFonts w:hint="eastAsia"/>
                <w:szCs w:val="21"/>
              </w:rPr>
              <w:t>（5）针对本项目提出的合理化建议</w:t>
            </w:r>
          </w:p>
          <w:p w14:paraId="7F595808">
            <w:pPr>
              <w:spacing w:line="276" w:lineRule="auto"/>
              <w:ind w:firstLine="420" w:firstLineChars="200"/>
              <w:jc w:val="left"/>
              <w:rPr>
                <w:szCs w:val="21"/>
              </w:rPr>
            </w:pPr>
            <w:r>
              <w:rPr>
                <w:rFonts w:hint="eastAsia"/>
                <w:szCs w:val="21"/>
              </w:rPr>
              <w:t>各项内容每有一项缺失的扣2分，各部分内容中每有一处内容有缺陷的扣0.5分，扣完为止。本项所称“缺陷”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929" w:type="dxa"/>
            <w:vAlign w:val="center"/>
          </w:tcPr>
          <w:p w14:paraId="375C0CBB">
            <w:pPr>
              <w:spacing w:line="276" w:lineRule="auto"/>
              <w:jc w:val="center"/>
              <w:rPr>
                <w:szCs w:val="21"/>
              </w:rPr>
            </w:pPr>
            <w:r>
              <w:rPr>
                <w:rFonts w:hint="eastAsia"/>
                <w:szCs w:val="21"/>
              </w:rPr>
              <w:t>10分</w:t>
            </w:r>
          </w:p>
        </w:tc>
      </w:tr>
      <w:tr w14:paraId="0909E5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299" w:type="dxa"/>
            <w:gridSpan w:val="2"/>
            <w:vAlign w:val="center"/>
          </w:tcPr>
          <w:p w14:paraId="30D7A69E">
            <w:pPr>
              <w:spacing w:line="276" w:lineRule="auto"/>
              <w:ind w:firstLine="420" w:firstLineChars="200"/>
              <w:jc w:val="left"/>
              <w:rPr>
                <w:szCs w:val="21"/>
              </w:rPr>
            </w:pPr>
            <w:r>
              <w:rPr>
                <w:rFonts w:hint="eastAsia"/>
                <w:szCs w:val="21"/>
              </w:rPr>
              <w:t>技术、服务方案部分得分为磋商小组所有评审专家打分的算术平均值，计算结果保留2位小数。</w:t>
            </w:r>
          </w:p>
        </w:tc>
      </w:tr>
      <w:tr w14:paraId="2C1F90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9299" w:type="dxa"/>
            <w:gridSpan w:val="2"/>
            <w:vAlign w:val="center"/>
          </w:tcPr>
          <w:p w14:paraId="65355408">
            <w:pPr>
              <w:spacing w:line="276" w:lineRule="auto"/>
              <w:jc w:val="center"/>
              <w:rPr>
                <w:b/>
                <w:szCs w:val="21"/>
              </w:rPr>
            </w:pPr>
            <w:r>
              <w:rPr>
                <w:rFonts w:hint="eastAsia"/>
                <w:b/>
                <w:szCs w:val="21"/>
              </w:rPr>
              <w:t>三 、价格部分（20分）</w:t>
            </w:r>
          </w:p>
        </w:tc>
      </w:tr>
      <w:tr w14:paraId="2795C13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70" w:type="dxa"/>
            <w:vAlign w:val="center"/>
          </w:tcPr>
          <w:p w14:paraId="65B0EFCB">
            <w:pPr>
              <w:spacing w:line="276" w:lineRule="auto"/>
              <w:ind w:firstLine="420" w:firstLineChars="200"/>
              <w:jc w:val="left"/>
              <w:rPr>
                <w:szCs w:val="21"/>
              </w:rPr>
            </w:pPr>
            <w:r>
              <w:rPr>
                <w:rFonts w:hint="eastAsia"/>
                <w:szCs w:val="21"/>
              </w:rPr>
              <w:t>1.通过符合性审查的供应商提交最后报价的为有效价格，未通过符合性审查或未提交最后报价不参与基准价的计算。</w:t>
            </w:r>
          </w:p>
          <w:p w14:paraId="47419B03">
            <w:pPr>
              <w:spacing w:line="276" w:lineRule="auto"/>
              <w:ind w:firstLine="420" w:firstLineChars="200"/>
              <w:jc w:val="left"/>
              <w:rPr>
                <w:szCs w:val="21"/>
              </w:rPr>
            </w:pPr>
            <w:r>
              <w:rPr>
                <w:rFonts w:hint="eastAsia"/>
                <w:szCs w:val="21"/>
              </w:rPr>
              <w:t>2.综合评分法中的价格分统一采用低价优先法计算，即满足磋商文件要求且最后报价最低的供应商的价格为磋商基准价，其价格分为满分。其他供应商的价格分统一按照下列公式计算：</w:t>
            </w:r>
          </w:p>
          <w:p w14:paraId="08BCF152">
            <w:pPr>
              <w:spacing w:line="276" w:lineRule="auto"/>
              <w:ind w:firstLine="420" w:firstLineChars="200"/>
              <w:jc w:val="left"/>
              <w:rPr>
                <w:szCs w:val="21"/>
              </w:rPr>
            </w:pPr>
            <w:r>
              <w:rPr>
                <w:rFonts w:hint="eastAsia"/>
                <w:szCs w:val="21"/>
              </w:rPr>
              <w:t>磋商报价得分=（磋商基准价/最后磋商报价）×20%×100</w:t>
            </w:r>
          </w:p>
          <w:p w14:paraId="0EECDD87">
            <w:pPr>
              <w:spacing w:line="276" w:lineRule="auto"/>
              <w:ind w:firstLine="420" w:firstLineChars="200"/>
              <w:jc w:val="left"/>
              <w:rPr>
                <w:szCs w:val="21"/>
              </w:rPr>
            </w:pPr>
            <w:r>
              <w:rPr>
                <w:rFonts w:hint="eastAsia"/>
                <w:szCs w:val="21"/>
              </w:rPr>
              <w:t>3.评审中出现下列情形之一的，评审委员会应当启动异常低价投标审查程序：</w:t>
            </w:r>
          </w:p>
          <w:p w14:paraId="78AAD7E6">
            <w:pPr>
              <w:spacing w:line="276" w:lineRule="auto"/>
              <w:ind w:firstLine="420" w:firstLineChars="200"/>
              <w:jc w:val="left"/>
              <w:rPr>
                <w:szCs w:val="21"/>
              </w:rPr>
            </w:pPr>
            <w:r>
              <w:rPr>
                <w:rFonts w:hint="eastAsia"/>
                <w:szCs w:val="21"/>
              </w:rPr>
              <w:t>（1）投标报价低于全部通过符合性审查供应商投标报价平均值50%的，即投标报价＜全部通过符合性审查供应商投标报价平均值×50%；</w:t>
            </w:r>
          </w:p>
          <w:p w14:paraId="33940AD9">
            <w:pPr>
              <w:spacing w:line="276" w:lineRule="auto"/>
              <w:ind w:firstLine="420" w:firstLineChars="200"/>
              <w:jc w:val="left"/>
              <w:rPr>
                <w:szCs w:val="21"/>
              </w:rPr>
            </w:pPr>
            <w:r>
              <w:rPr>
                <w:rFonts w:hint="eastAsia"/>
                <w:szCs w:val="21"/>
              </w:rPr>
              <w:t>（2）投标报价低于通过符合性审查的次低报价供应商投标报价50%的，即投标报价＜通过符合性审查的次低报价供应商投标报价×50%；</w:t>
            </w:r>
          </w:p>
          <w:p w14:paraId="21EA5BE2">
            <w:pPr>
              <w:spacing w:line="276" w:lineRule="auto"/>
              <w:ind w:firstLine="420" w:firstLineChars="200"/>
              <w:jc w:val="left"/>
              <w:rPr>
                <w:szCs w:val="21"/>
              </w:rPr>
            </w:pPr>
            <w:r>
              <w:rPr>
                <w:rFonts w:hint="eastAsia"/>
                <w:szCs w:val="21"/>
              </w:rPr>
              <w:t>（3）投标报价低于采购项目最高限价45%的，即投标报价＜采购项目最高限价×45%；</w:t>
            </w:r>
          </w:p>
          <w:p w14:paraId="286CB926">
            <w:pPr>
              <w:spacing w:line="276" w:lineRule="auto"/>
              <w:ind w:firstLine="420" w:firstLineChars="200"/>
              <w:jc w:val="left"/>
              <w:rPr>
                <w:szCs w:val="21"/>
              </w:rPr>
            </w:pPr>
            <w:r>
              <w:rPr>
                <w:rFonts w:hint="eastAsia"/>
                <w:szCs w:val="21"/>
              </w:rPr>
              <w:t>（4）评审委员会基于专业判断，认为供应商报价过低，有可能影响产品质量或者不能诚信履约的其他情形。</w:t>
            </w:r>
          </w:p>
          <w:p w14:paraId="04DE92ED">
            <w:pPr>
              <w:spacing w:line="276" w:lineRule="auto"/>
              <w:ind w:firstLine="420" w:firstLineChars="200"/>
              <w:jc w:val="left"/>
              <w:rPr>
                <w:szCs w:val="21"/>
              </w:rPr>
            </w:pPr>
            <w:r>
              <w:rPr>
                <w:rFonts w:hint="eastAsia"/>
                <w:szCs w:val="21"/>
              </w:rPr>
              <w:t>评审委员会启动异常低价投标审查后，应当要求相关供应商在评审现场合理的时间内对投标价格作出解释，提供项目具体成本测算等与报价合理性相关的书面说明及必要的证明材料，给予相关供应商的合理时间一般不少于30分钟。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459589F8">
            <w:pPr>
              <w:spacing w:line="276" w:lineRule="auto"/>
              <w:ind w:firstLine="420" w:firstLineChars="200"/>
              <w:jc w:val="left"/>
              <w:rPr>
                <w:b/>
                <w:szCs w:val="21"/>
              </w:rPr>
            </w:pPr>
            <w:r>
              <w:rPr>
                <w:rFonts w:hint="eastAsia"/>
                <w:szCs w:val="21"/>
              </w:rPr>
              <w:t>供应商参加本次招标活动，上述要求（如涉及的话），均应作出响应。</w:t>
            </w:r>
          </w:p>
        </w:tc>
        <w:tc>
          <w:tcPr>
            <w:tcW w:w="929" w:type="dxa"/>
            <w:vAlign w:val="center"/>
          </w:tcPr>
          <w:p w14:paraId="054D0026">
            <w:pPr>
              <w:widowControl/>
              <w:snapToGrid w:val="0"/>
              <w:spacing w:line="276" w:lineRule="auto"/>
              <w:jc w:val="center"/>
              <w:rPr>
                <w:b/>
                <w:szCs w:val="21"/>
              </w:rPr>
            </w:pPr>
            <w:r>
              <w:rPr>
                <w:rFonts w:hint="eastAsia"/>
                <w:szCs w:val="21"/>
              </w:rPr>
              <w:t>20分</w:t>
            </w:r>
          </w:p>
        </w:tc>
      </w:tr>
    </w:tbl>
    <w:p w14:paraId="2810090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D0614C"/>
    <w:multiLevelType w:val="multilevel"/>
    <w:tmpl w:val="33D0614C"/>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762"/>
    <w:rsid w:val="0016513C"/>
    <w:rsid w:val="00263334"/>
    <w:rsid w:val="002A7762"/>
    <w:rsid w:val="00444A12"/>
    <w:rsid w:val="00474CDB"/>
    <w:rsid w:val="004F5D61"/>
    <w:rsid w:val="00697BE3"/>
    <w:rsid w:val="009D3030"/>
    <w:rsid w:val="00AC5F29"/>
    <w:rsid w:val="00C50356"/>
    <w:rsid w:val="00D34E73"/>
    <w:rsid w:val="00DA2BC8"/>
    <w:rsid w:val="00E12B4B"/>
    <w:rsid w:val="086F42C5"/>
    <w:rsid w:val="78595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qFormat/>
    <w:uiPriority w:val="22"/>
    <w:rPr>
      <w:b/>
      <w:bCs/>
    </w:rPr>
  </w:style>
  <w:style w:type="character" w:customStyle="1" w:styleId="8">
    <w:name w:val="标题 1 Char"/>
    <w:basedOn w:val="6"/>
    <w:link w:val="2"/>
    <w:uiPriority w:val="9"/>
    <w:rPr>
      <w:b/>
      <w:bCs/>
      <w:kern w:val="44"/>
      <w:sz w:val="44"/>
      <w:szCs w:val="44"/>
    </w:rPr>
  </w:style>
  <w:style w:type="character" w:customStyle="1" w:styleId="9">
    <w:name w:val="标题 2 Char"/>
    <w:basedOn w:val="6"/>
    <w:link w:val="3"/>
    <w:semiHidden/>
    <w:uiPriority w:val="9"/>
    <w:rPr>
      <w:rFonts w:asciiTheme="majorHAnsi" w:hAnsiTheme="majorHAnsi" w:eastAsiaTheme="majorEastAsia" w:cstheme="majorBidi"/>
      <w:b/>
      <w:bCs/>
      <w:sz w:val="32"/>
      <w:szCs w:val="32"/>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2352</Words>
  <Characters>2426</Characters>
  <Lines>17</Lines>
  <Paragraphs>5</Paragraphs>
  <TotalTime>7</TotalTime>
  <ScaleCrop>false</ScaleCrop>
  <LinksUpToDate>false</LinksUpToDate>
  <CharactersWithSpaces>2440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2026-07-03T06:51:00Z</dcterms:created>
  <dc:creator>xb21cn</dc:creator>
  <cp:lastModifiedBy>琴</cp:lastModifiedBy>
  <dcterms:modified xsi:type="dcterms:W3CDTF">2026-07-17T01:14:39Z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eyJoZGlkIjoiYmNkNmUwOTFlOGQ5NTlmODI0NzJmMjJlYTRhNGEwZTAiLCJ1c2VySWQiOiIzMjgwMDYyNzcifQ==</vt:lpwstr>
  </property>
  <property fmtid="{D5CDD505-2E9C-101B-9397-08002B2CF9AE}" pid="3" name="KSOProductBuildVer">
    <vt:lpwstr>2052-12.1.0.26375</vt:lpwstr>
  </property>
  <property fmtid="{D5CDD505-2E9C-101B-9397-08002B2CF9AE}" pid="4" name="ICV">
    <vt:lpwstr>3991435B4AEC4FDB8C91F63B503E2992_12</vt:lpwstr>
  </property>
</Properties>
</file>