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DDF60">
      <w:pPr>
        <w:ind w:firstLine="0" w:firstLineChars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1、中国人类遗传资源保藏许可辅导服务技术参数：</w:t>
      </w:r>
    </w:p>
    <w:tbl>
      <w:tblPr>
        <w:tblStyle w:val="9"/>
        <w:tblW w:w="52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197"/>
        <w:gridCol w:w="6968"/>
      </w:tblGrid>
      <w:tr w14:paraId="4467D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09" w:type="pct"/>
            <w:vAlign w:val="center"/>
          </w:tcPr>
          <w:p w14:paraId="0D7F6CAD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6C78D3A1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服务内容</w:t>
            </w:r>
          </w:p>
        </w:tc>
        <w:tc>
          <w:tcPr>
            <w:tcW w:w="3917" w:type="pct"/>
            <w:vAlign w:val="center"/>
          </w:tcPr>
          <w:p w14:paraId="725BBCD3">
            <w:pPr>
              <w:ind w:firstLine="482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技术参数与服务要求</w:t>
            </w:r>
          </w:p>
        </w:tc>
      </w:tr>
      <w:tr w14:paraId="14AAD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409" w:type="pct"/>
            <w:vAlign w:val="center"/>
          </w:tcPr>
          <w:p w14:paraId="5E84C984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2733B04F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申请资格评估</w:t>
            </w:r>
          </w:p>
        </w:tc>
        <w:tc>
          <w:tcPr>
            <w:tcW w:w="3917" w:type="pct"/>
            <w:vAlign w:val="center"/>
          </w:tcPr>
          <w:p w14:paraId="04FF9AFF">
            <w:pPr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1.多维度现状评审：</w:t>
            </w:r>
            <w:r>
              <w:rPr>
                <w:rFonts w:ascii="Times New Roman" w:hAnsi="Times New Roman" w:cs="Times New Roman"/>
              </w:rPr>
              <w:t>调研采购人学科建设、样本库架构、保藏工作进展及科研成果，形成基础评估报告。</w:t>
            </w:r>
          </w:p>
          <w:p w14:paraId="5CE9E960">
            <w:pPr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2.资格与目的合规判定：确认</w:t>
            </w:r>
            <w:r>
              <w:rPr>
                <w:rFonts w:hint="eastAsia" w:ascii="Times New Roman" w:hAnsi="Times New Roman" w:cs="Times New Roman"/>
                <w:kern w:val="0"/>
              </w:rPr>
              <w:t>成办医院</w:t>
            </w:r>
            <w:r>
              <w:rPr>
                <w:rFonts w:ascii="Times New Roman" w:hAnsi="Times New Roman" w:cs="Times New Roman"/>
                <w:kern w:val="0"/>
              </w:rPr>
              <w:t>是否具备医疗机构/科研机构/高等院校等法定保藏资格，审核保藏目的是否符合科研、医疗、公共利益等法规允许范围。</w:t>
            </w:r>
          </w:p>
        </w:tc>
      </w:tr>
      <w:tr w14:paraId="4031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409" w:type="pct"/>
            <w:vAlign w:val="center"/>
          </w:tcPr>
          <w:p w14:paraId="7A45FF4A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6A5FA40E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顶层设计</w:t>
            </w:r>
          </w:p>
        </w:tc>
        <w:tc>
          <w:tcPr>
            <w:tcW w:w="3917" w:type="pct"/>
            <w:vAlign w:val="center"/>
          </w:tcPr>
          <w:p w14:paraId="722595C2">
            <w:pPr>
              <w:widowControl/>
              <w:shd w:val="clear" w:color="auto" w:fill="FFFFFF"/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1.调研生物样本库的现场条件和运营情况，包括场所、设施、仪器设备、人员和外部环境等因素，进行合规性和规范化评估。</w:t>
            </w:r>
          </w:p>
          <w:p w14:paraId="26EF2A2A">
            <w:pPr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2.与生物样本库管理层深入探讨，结合法规以及GBT 37864-2019《生物样本库质量和能力通用要求》等法规标准，确认样本库建设目标和未来5年发展规划，制定全面的辅导计划。</w:t>
            </w:r>
          </w:p>
        </w:tc>
      </w:tr>
      <w:tr w14:paraId="54BE3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pct"/>
            <w:vAlign w:val="center"/>
          </w:tcPr>
          <w:p w14:paraId="40AF0E61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16C76440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组织架构及岗位职责</w:t>
            </w:r>
          </w:p>
        </w:tc>
        <w:tc>
          <w:tcPr>
            <w:tcW w:w="3917" w:type="pct"/>
            <w:vAlign w:val="center"/>
          </w:tcPr>
          <w:p w14:paraId="7A5DA9E3">
            <w:pPr>
              <w:widowControl/>
              <w:shd w:val="clear" w:color="auto" w:fill="FFFFFF"/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1.架构优化设计：根据采购方实际规模与业务需求，设计样本库内部及外部最优组织架构，确保满足国家卫健委对“人员配置”的硬性要求。</w:t>
            </w:r>
            <w:r>
              <w:rPr>
                <w:rFonts w:hint="eastAsia" w:ascii="Times New Roman" w:hAnsi="Times New Roman" w:cs="Times New Roman"/>
                <w:kern w:val="0"/>
              </w:rPr>
              <w:t>协助成办医院样本库设计实验室空间布局，确保满足申报人类遗传资源保藏许可的要求。</w:t>
            </w:r>
          </w:p>
          <w:p w14:paraId="764B63F8">
            <w:pPr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2.</w:t>
            </w:r>
            <w:r>
              <w:rPr>
                <w:rFonts w:ascii="Times New Roman" w:hAnsi="Times New Roman" w:cs="Times New Roman"/>
              </w:rPr>
              <w:t>岗位职责定制：结合现有人员配置，明确各岗位权责（如保藏管理、质量控制、伦理合规等）。</w:t>
            </w:r>
          </w:p>
          <w:p w14:paraId="454720B2">
            <w:pPr>
              <w:widowControl/>
              <w:ind w:firstLine="0" w:firstLineChars="0"/>
              <w:textAlignment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3.专题培训赋能：为样本库工作人员提供不少于3次专题培训，覆盖人遗法规解读、样本库标准化建设、申报系统实操培训等核心内容，切实帮助机构规范业务流程、规避法规风险，实现高效、合规的日常运营与管理。</w:t>
            </w:r>
          </w:p>
        </w:tc>
      </w:tr>
      <w:tr w14:paraId="70A3B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pct"/>
            <w:vAlign w:val="center"/>
          </w:tcPr>
          <w:p w14:paraId="1FC65E4B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181C2A5B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样本库工作流程梳理</w:t>
            </w:r>
          </w:p>
        </w:tc>
        <w:tc>
          <w:tcPr>
            <w:tcW w:w="3917" w:type="pct"/>
            <w:vAlign w:val="center"/>
          </w:tcPr>
          <w:p w14:paraId="0B91A700">
            <w:pPr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1.样本全生命周期流程规划：梳理和完善入库申请、样本采集、信息录入及上报、样本转运及接收、信息接收及汇总、入库、在库、出库（使用/共享）、质控、销毁等全环节流程，明确关键节点审批机制。</w:t>
            </w:r>
          </w:p>
          <w:p w14:paraId="6DC0587B">
            <w:pPr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2.运营管理制度建设：</w:t>
            </w:r>
            <w:r>
              <w:rPr>
                <w:rFonts w:hint="eastAsia" w:ascii="Times New Roman" w:hAnsi="Times New Roman" w:cs="Times New Roman"/>
              </w:rPr>
              <w:t>第三方工作人员实地驻场</w:t>
            </w:r>
            <w:r>
              <w:rPr>
                <w:rFonts w:ascii="Times New Roman" w:hAnsi="Times New Roman" w:cs="Times New Roman"/>
              </w:rPr>
              <w:t>协助</w:t>
            </w:r>
            <w:r>
              <w:rPr>
                <w:rFonts w:hint="eastAsia" w:ascii="Times New Roman" w:hAnsi="Times New Roman" w:cs="Times New Roman"/>
              </w:rPr>
              <w:t>成办医院生物样本库</w:t>
            </w:r>
            <w:r>
              <w:rPr>
                <w:rFonts w:ascii="Times New Roman" w:hAnsi="Times New Roman" w:cs="Times New Roman"/>
              </w:rPr>
              <w:t>搭建覆盖生物样本全流程的管理制度，如：机构人类遗传资源管理制度、生物样本库保藏管理制度、生物样本库伦理审核制度和生物样本库保藏技术文件等。</w:t>
            </w:r>
          </w:p>
          <w:p w14:paraId="070F4A58">
            <w:pPr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3.应急保障设计：针对停电、样本销毁、数据泄露等突发情况，提供应急响应流程设计及配套文件（如应急预案、处置方案），确保风险可防可控。</w:t>
            </w:r>
          </w:p>
        </w:tc>
      </w:tr>
      <w:tr w14:paraId="7113D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pct"/>
            <w:vAlign w:val="center"/>
          </w:tcPr>
          <w:p w14:paraId="53791381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66EE0CB5">
            <w:pPr>
              <w:ind w:firstLine="0" w:firstLineChars="0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伦理审查</w:t>
            </w:r>
          </w:p>
        </w:tc>
        <w:tc>
          <w:tcPr>
            <w:tcW w:w="3917" w:type="pct"/>
            <w:vAlign w:val="center"/>
          </w:tcPr>
          <w:p w14:paraId="556A7B95">
            <w:pPr>
              <w:widowControl/>
              <w:shd w:val="clear" w:color="auto" w:fill="FFFFFF"/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根据生物样本库最新伦理审查要求，结合机构伦理委员会具体</w:t>
            </w:r>
            <w:r>
              <w:rPr>
                <w:rFonts w:ascii="Times New Roman" w:hAnsi="Times New Roman" w:cs="Times New Roman"/>
                <w:szCs w:val="32"/>
              </w:rPr>
              <w:t>要求，</w:t>
            </w:r>
            <w:r>
              <w:rPr>
                <w:rFonts w:ascii="Times New Roman" w:hAnsi="Times New Roman" w:cs="Times New Roman"/>
                <w:kern w:val="0"/>
              </w:rPr>
              <w:t>协助样本库工作人员</w:t>
            </w:r>
            <w:r>
              <w:rPr>
                <w:rFonts w:ascii="Times New Roman" w:hAnsi="Times New Roman" w:cs="Times New Roman"/>
                <w:szCs w:val="32"/>
              </w:rPr>
              <w:t>整理所需伦理审查材料</w:t>
            </w:r>
            <w:r>
              <w:rPr>
                <w:rFonts w:ascii="Times New Roman" w:hAnsi="Times New Roman" w:cs="Times New Roman"/>
                <w:kern w:val="0"/>
              </w:rPr>
              <w:t>，确保伦理审查合规、高效、高质量完成。</w:t>
            </w:r>
          </w:p>
        </w:tc>
      </w:tr>
      <w:tr w14:paraId="2F7F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09" w:type="pct"/>
            <w:vAlign w:val="center"/>
          </w:tcPr>
          <w:p w14:paraId="215EAFC9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488A7E5F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辅导</w:t>
            </w:r>
          </w:p>
        </w:tc>
        <w:tc>
          <w:tcPr>
            <w:tcW w:w="3917" w:type="pct"/>
            <w:vAlign w:val="center"/>
          </w:tcPr>
          <w:p w14:paraId="041EDFE0">
            <w:pPr>
              <w:widowControl/>
              <w:shd w:val="clear" w:color="auto" w:fill="FFFFFF"/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根据需要和用户实际进行高效辅导，应讲解相关法规关键条款，并进行答疑；讨论人遗申报流程及相关注意事项、环境和设备设施等问题点整改落实。</w:t>
            </w:r>
          </w:p>
        </w:tc>
      </w:tr>
      <w:tr w14:paraId="1050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</w:trPr>
        <w:tc>
          <w:tcPr>
            <w:tcW w:w="409" w:type="pct"/>
            <w:vAlign w:val="center"/>
          </w:tcPr>
          <w:p w14:paraId="42D17266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781E92E3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完善体系文件编制</w:t>
            </w:r>
          </w:p>
        </w:tc>
        <w:tc>
          <w:tcPr>
            <w:tcW w:w="3917" w:type="pct"/>
            <w:vAlign w:val="center"/>
          </w:tcPr>
          <w:p w14:paraId="47F5F484">
            <w:pPr>
              <w:widowControl/>
              <w:ind w:firstLine="0" w:firstLineChars="0"/>
              <w:textAlignment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结合《中国人类遗传资源保藏技术规范》及IS020387/GBT 37864-2019《生物样本库质量和能力通用要求》等要求，</w:t>
            </w:r>
            <w:r>
              <w:rPr>
                <w:rFonts w:hint="eastAsia" w:ascii="Times New Roman" w:hAnsi="Times New Roman" w:cs="Times New Roman"/>
                <w:kern w:val="0"/>
              </w:rPr>
              <w:t>实地驻场</w:t>
            </w:r>
            <w:r>
              <w:rPr>
                <w:rFonts w:ascii="Times New Roman" w:hAnsi="Times New Roman" w:cs="Times New Roman"/>
                <w:kern w:val="0"/>
              </w:rPr>
              <w:t>辅导采购人完成以下材料编制与审核：</w:t>
            </w:r>
          </w:p>
          <w:p w14:paraId="41B25514">
            <w:pPr>
              <w:widowControl/>
              <w:ind w:firstLine="0" w:firstLineChars="0"/>
              <w:textAlignment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1.基础文件：保藏申请书(含保藏目的、方案、伦理审查证明)、伦理审查文件(协助获取机构伦理委员会批件)、人遗合法来源证明、样本提供者知情同意书。</w:t>
            </w:r>
          </w:p>
          <w:p w14:paraId="7176B408">
            <w:pPr>
              <w:pStyle w:val="14"/>
              <w:ind w:firstLine="0" w:firstLineChars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.核心方案与制度：保藏方案(含背景、计划、条件、资金保障、样本种类/数量/保存条件)、管理制度(出入库、人员培训、安全管理制度、保密管理制度、处理使用和档案管理等)、技术文件（设施设备管理要求、场地环境管理要求、人员配置、技术操作规范和质量控制体系文件）。</w:t>
            </w:r>
          </w:p>
          <w:p w14:paraId="71E599F4">
            <w:pPr>
              <w:widowControl/>
              <w:ind w:firstLine="0" w:firstLineChars="0"/>
              <w:textAlignment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3.预审核机制：主持申报前材料审核，出具整改意见，确保材料完整性与合规性。</w:t>
            </w:r>
          </w:p>
        </w:tc>
      </w:tr>
      <w:tr w14:paraId="04047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409" w:type="pct"/>
            <w:vAlign w:val="center"/>
          </w:tcPr>
          <w:p w14:paraId="6C0275A6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3568409D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szCs w:val="32"/>
              </w:rPr>
              <w:t>协助在人遗系统填报申报材料</w:t>
            </w:r>
          </w:p>
        </w:tc>
        <w:tc>
          <w:tcPr>
            <w:tcW w:w="3917" w:type="pct"/>
            <w:vAlign w:val="center"/>
          </w:tcPr>
          <w:p w14:paraId="7B83A2AB">
            <w:pPr>
              <w:ind w:firstLine="0" w:firstLineChars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协助准备“中国人类遗传资源管理服务平台” 所需文件并完成材料上传，包括申请书、法人资格证明、知情同意书文本、伦理审查批件、保藏方案、保藏管理制度、保藏技术文件、人类遗传资源合法来源证明材料、保藏场所布局平面图等全套文件。</w:t>
            </w:r>
          </w:p>
        </w:tc>
      </w:tr>
      <w:tr w14:paraId="68CB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09" w:type="pct"/>
            <w:vAlign w:val="center"/>
          </w:tcPr>
          <w:p w14:paraId="3BAD2A46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7D3BA494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预审查资料确认</w:t>
            </w:r>
          </w:p>
        </w:tc>
        <w:tc>
          <w:tcPr>
            <w:tcW w:w="3917" w:type="pct"/>
            <w:vAlign w:val="center"/>
          </w:tcPr>
          <w:p w14:paraId="7425CA35">
            <w:pPr>
              <w:widowControl/>
              <w:ind w:firstLine="0" w:firstLineChars="0"/>
              <w:textAlignment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包括账号注册授权、中方资质备案、资料填报等流程，根据卫健委的要求进行资料整理及提交审核、修正等工作。</w:t>
            </w:r>
          </w:p>
        </w:tc>
      </w:tr>
      <w:tr w14:paraId="48E9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09" w:type="pct"/>
            <w:vAlign w:val="center"/>
          </w:tcPr>
          <w:p w14:paraId="59FA5083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72EF8582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答辩PPT制作</w:t>
            </w:r>
          </w:p>
        </w:tc>
        <w:tc>
          <w:tcPr>
            <w:tcW w:w="3917" w:type="pct"/>
            <w:vAlign w:val="center"/>
          </w:tcPr>
          <w:p w14:paraId="69E1B6D9">
            <w:pPr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1.架构与内容搭建</w:t>
            </w:r>
            <w:r>
              <w:rPr>
                <w:rFonts w:ascii="Times New Roman" w:hAnsi="Times New Roman" w:cs="Times New Roman"/>
                <w:kern w:val="0"/>
              </w:rPr>
              <w:t>：</w:t>
            </w:r>
            <w:r>
              <w:rPr>
                <w:rFonts w:ascii="Times New Roman" w:hAnsi="Times New Roman" w:cs="Times New Roman"/>
              </w:rPr>
              <w:t>根据人遗申报答辩主题设计 PPT 逻辑架构，涵盖项目背景、保藏方案建设情况、合规性证明、成果与规划等核心模块。</w:t>
            </w:r>
          </w:p>
          <w:p w14:paraId="13308EF5">
            <w:pPr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2.细节优化：指导采购人补充关键数据、调整视觉呈现（图表/流程图），</w:t>
            </w:r>
            <w:r>
              <w:rPr>
                <w:rFonts w:hint="eastAsia" w:ascii="Times New Roman" w:hAnsi="Times New Roman" w:cs="Times New Roman"/>
              </w:rPr>
              <w:t>指导样本库工作流程视频的拍摄制作，</w:t>
            </w:r>
            <w:r>
              <w:rPr>
                <w:rFonts w:ascii="Times New Roman" w:hAnsi="Times New Roman" w:cs="Times New Roman"/>
              </w:rPr>
              <w:t xml:space="preserve">确保 PPT </w:t>
            </w:r>
            <w:r>
              <w:rPr>
                <w:rFonts w:hint="eastAsia" w:ascii="Times New Roman" w:hAnsi="Times New Roman" w:cs="Times New Roman"/>
              </w:rPr>
              <w:t>和视频</w:t>
            </w:r>
            <w:r>
              <w:rPr>
                <w:rFonts w:ascii="Times New Roman" w:hAnsi="Times New Roman" w:cs="Times New Roman"/>
              </w:rPr>
              <w:t>重点突出、逻辑清晰、符合评审要求。</w:t>
            </w:r>
          </w:p>
        </w:tc>
      </w:tr>
      <w:tr w14:paraId="5054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pct"/>
            <w:vAlign w:val="center"/>
          </w:tcPr>
          <w:p w14:paraId="2E62593E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0E067C70">
            <w:pPr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答辩全流程辅导</w:t>
            </w:r>
          </w:p>
        </w:tc>
        <w:tc>
          <w:tcPr>
            <w:tcW w:w="3917" w:type="pct"/>
            <w:vAlign w:val="center"/>
          </w:tcPr>
          <w:p w14:paraId="29E09128">
            <w:pPr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收到卫健委答辩通知后，项目组应对主答辩人进行答辩辅导：</w:t>
            </w:r>
          </w:p>
          <w:p w14:paraId="272D756A">
            <w:pPr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1.</w:t>
            </w:r>
            <w:r>
              <w:rPr>
                <w:rFonts w:ascii="Times New Roman" w:hAnsi="Times New Roman" w:cs="Times New Roman"/>
              </w:rPr>
              <w:t>主讲人培训：协助确定答辩汇报主讲人，针对课件逻辑分析、重点内容讲解技巧开展专项培训。</w:t>
            </w:r>
          </w:p>
          <w:p w14:paraId="15FE1ABC">
            <w:pPr>
              <w:ind w:firstLine="0" w:firstLineChars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2.模拟演练：</w:t>
            </w:r>
            <w:r>
              <w:rPr>
                <w:rFonts w:hint="eastAsia" w:ascii="Times New Roman" w:hAnsi="Times New Roman" w:cs="Times New Roman"/>
              </w:rPr>
              <w:t>组织人遗专家</w:t>
            </w:r>
            <w:r>
              <w:rPr>
                <w:rFonts w:ascii="Times New Roman" w:hAnsi="Times New Roman" w:cs="Times New Roman"/>
              </w:rPr>
              <w:t>开展模拟答辩，涵盖试讲、模拟专家问答，帮助主讲人熟悉流程、提升应变能力。</w:t>
            </w:r>
          </w:p>
        </w:tc>
      </w:tr>
      <w:tr w14:paraId="27AD3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pct"/>
            <w:vAlign w:val="center"/>
          </w:tcPr>
          <w:p w14:paraId="0F4A8BAF">
            <w:pPr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673" w:type="pct"/>
            <w:vAlign w:val="center"/>
          </w:tcPr>
          <w:p w14:paraId="3923F810">
            <w:pPr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lang w:val="en-US" w:eastAsia="zh-CN"/>
              </w:rPr>
              <w:t>技术服务方案</w:t>
            </w:r>
          </w:p>
        </w:tc>
        <w:tc>
          <w:tcPr>
            <w:tcW w:w="3917" w:type="pct"/>
            <w:vAlign w:val="center"/>
          </w:tcPr>
          <w:p w14:paraId="238F592C">
            <w:pPr>
              <w:ind w:firstLine="0" w:firstLineChars="0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在谈价时提供根据项目技术参数及医院情况编制的技术服务方案（需包含：项目理解及分析，项目实施方案、服务方案、拟投入项目人员情况，售后服务、培训方案）。</w:t>
            </w:r>
            <w:bookmarkStart w:id="0" w:name="_GoBack"/>
            <w:bookmarkEnd w:id="0"/>
          </w:p>
        </w:tc>
      </w:tr>
    </w:tbl>
    <w:p w14:paraId="4FB8C153">
      <w:pPr>
        <w:ind w:firstLine="0" w:firstLineChars="0"/>
        <w:rPr>
          <w:rFonts w:ascii="Times New Roman" w:hAnsi="Times New Roman" w:cs="Times New Roman"/>
        </w:rPr>
      </w:pPr>
    </w:p>
    <w:p w14:paraId="744750F0">
      <w:pPr>
        <w:ind w:firstLine="0" w:firstLineChars="0"/>
        <w:rPr>
          <w:rFonts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5141F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EC489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574FC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BE33D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56B2F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A266E"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128654"/>
    <w:multiLevelType w:val="singleLevel"/>
    <w:tmpl w:val="C412865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234580"/>
    <w:rsid w:val="0009279A"/>
    <w:rsid w:val="00182189"/>
    <w:rsid w:val="00243419"/>
    <w:rsid w:val="002E0460"/>
    <w:rsid w:val="00714E43"/>
    <w:rsid w:val="008F4E53"/>
    <w:rsid w:val="009459CA"/>
    <w:rsid w:val="009E32ED"/>
    <w:rsid w:val="00AE3FAA"/>
    <w:rsid w:val="00BC2300"/>
    <w:rsid w:val="00DB153B"/>
    <w:rsid w:val="00EE6226"/>
    <w:rsid w:val="00FE4D93"/>
    <w:rsid w:val="07241394"/>
    <w:rsid w:val="09AD74B8"/>
    <w:rsid w:val="0A3B63A6"/>
    <w:rsid w:val="0BC56019"/>
    <w:rsid w:val="105B0475"/>
    <w:rsid w:val="1E1B3887"/>
    <w:rsid w:val="1E6F4329"/>
    <w:rsid w:val="1ED90279"/>
    <w:rsid w:val="1F256D3A"/>
    <w:rsid w:val="23EC335C"/>
    <w:rsid w:val="24AE1F6D"/>
    <w:rsid w:val="251B5AF6"/>
    <w:rsid w:val="267C322C"/>
    <w:rsid w:val="29D2334D"/>
    <w:rsid w:val="2C3326B9"/>
    <w:rsid w:val="2F956FA1"/>
    <w:rsid w:val="321502BA"/>
    <w:rsid w:val="38F01C7A"/>
    <w:rsid w:val="3FA30576"/>
    <w:rsid w:val="48C72BD1"/>
    <w:rsid w:val="49137F2A"/>
    <w:rsid w:val="4C7F348C"/>
    <w:rsid w:val="4DE25C8E"/>
    <w:rsid w:val="53450CAD"/>
    <w:rsid w:val="54316AAD"/>
    <w:rsid w:val="55DA564E"/>
    <w:rsid w:val="55E60C53"/>
    <w:rsid w:val="5A7102B9"/>
    <w:rsid w:val="5B9A569C"/>
    <w:rsid w:val="5E891629"/>
    <w:rsid w:val="5FDF3FE1"/>
    <w:rsid w:val="62234580"/>
    <w:rsid w:val="623865E1"/>
    <w:rsid w:val="647A4392"/>
    <w:rsid w:val="686B73B6"/>
    <w:rsid w:val="6BE648F5"/>
    <w:rsid w:val="6E270646"/>
    <w:rsid w:val="7C6329F5"/>
    <w:rsid w:val="7F62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ind w:firstLine="0" w:firstLineChars="0"/>
      <w:jc w:val="center"/>
      <w:outlineLvl w:val="0"/>
    </w:pPr>
    <w:rPr>
      <w:rFonts w:eastAsia="黑体" w:cs="Times New Roman"/>
      <w:b/>
      <w:kern w:val="44"/>
      <w:sz w:val="32"/>
      <w:szCs w:val="22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ind w:firstLine="0" w:firstLineChars="0"/>
      <w:jc w:val="left"/>
      <w:outlineLvl w:val="1"/>
    </w:pPr>
    <w:rPr>
      <w:rFonts w:ascii="Arial" w:hAnsi="Arial"/>
      <w:b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240" w:lineRule="auto"/>
      <w:ind w:firstLine="0" w:firstLineChars="0"/>
      <w:jc w:val="center"/>
      <w:outlineLvl w:val="2"/>
    </w:p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oc 2"/>
    <w:basedOn w:val="1"/>
    <w:next w:val="1"/>
    <w:qFormat/>
    <w:uiPriority w:val="0"/>
    <w:pPr>
      <w:ind w:firstLine="0" w:firstLineChars="0"/>
      <w:jc w:val="left"/>
    </w:pPr>
    <w:rPr>
      <w:szCs w:val="2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标题 1 字符"/>
    <w:link w:val="2"/>
    <w:qFormat/>
    <w:uiPriority w:val="0"/>
    <w:rPr>
      <w:rFonts w:eastAsia="黑体" w:cs="Times New Roman" w:asciiTheme="minorHAnsi" w:hAnsiTheme="minorHAnsi"/>
      <w:b/>
      <w:kern w:val="44"/>
      <w:sz w:val="32"/>
      <w:szCs w:val="22"/>
    </w:rPr>
  </w:style>
  <w:style w:type="character" w:customStyle="1" w:styleId="13">
    <w:name w:val="标题 2 字符"/>
    <w:link w:val="3"/>
    <w:qFormat/>
    <w:uiPriority w:val="0"/>
    <w:rPr>
      <w:rFonts w:ascii="Arial" w:hAnsi="Arial" w:eastAsia="宋体"/>
      <w:b/>
      <w:sz w:val="28"/>
    </w:rPr>
  </w:style>
  <w:style w:type="paragraph" w:styleId="14">
    <w:name w:val="List Paragraph"/>
    <w:basedOn w:val="1"/>
    <w:autoRedefine/>
    <w:qFormat/>
    <w:uiPriority w:val="0"/>
    <w:pPr>
      <w:ind w:firstLine="420"/>
    </w:pPr>
  </w:style>
  <w:style w:type="character" w:customStyle="1" w:styleId="15">
    <w:name w:val="页眉 字符"/>
    <w:basedOn w:val="10"/>
    <w:link w:val="6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1694</Words>
  <Characters>1748</Characters>
  <Lines>129</Lines>
  <Paragraphs>103</Paragraphs>
  <TotalTime>38</TotalTime>
  <ScaleCrop>false</ScaleCrop>
  <LinksUpToDate>false</LinksUpToDate>
  <CharactersWithSpaces>1755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2025-11-27T03:57:00Z</dcterms:created>
  <dc:creator>离夏</dc:creator>
  <cp:lastModifiedBy>送往繁星</cp:lastModifiedBy>
  <dcterms:modified xsi:type="dcterms:W3CDTF">2025-12-05T01:15:00Z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921E01F2C8644354A2DD2801F9E2F472_13</vt:lpwstr>
  </property>
  <property fmtid="{D5CDD505-2E9C-101B-9397-08002B2CF9AE}" pid="4" name="KSOTemplateDocerSaveRecord">
    <vt:lpwstr>eyJoZGlkIjoiNDhmNGJiMDRiYWE1Y2Q0NTAyYWI3ZGU0NTNiYmEwYTMiLCJ1c2VySWQiOiI1MTcwMzA4NzUifQ==</vt:lpwstr>
  </property>
</Properties>
</file>