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5"/>
        <w:tblW w:w="3600" w:type="pct"/>
        <w:tblInd w:w="0" w:type="dxa"/>
        <w:tblLayout w:type="autofit"/>
        <w:tblCellMar>
          <w:top w:w="0" w:type="dxa"/>
          <w:left w:w="108" w:type="dxa"/>
          <w:bottom w:w="0" w:type="dxa"/>
          <w:right w:w="108" w:type="dxa"/>
        </w:tblCellMar>
      </w:tblPr>
      <w:tblGrid>
        <w:gridCol w:w="7013"/>
      </w:tblGrid>
      <w:tr w14:paraId="1C28D86E">
        <w:tblPrEx>
          <w:tblCellMar>
            <w:top w:w="0" w:type="dxa"/>
            <w:left w:w="108" w:type="dxa"/>
            <w:bottom w:w="0" w:type="dxa"/>
            <w:right w:w="108" w:type="dxa"/>
          </w:tblCellMar>
        </w:tblPrEx>
        <w:trPr>
          <w:trHeight w:val="1104" w:hRule="atLeast"/>
        </w:trPr>
        <w:tc>
          <w:tcPr>
            <w:tcW w:w="5000" w:type="pct"/>
            <w:tcBorders>
              <w:top w:val="nil"/>
              <w:left w:val="nil"/>
              <w:bottom w:val="single" w:color="auto" w:sz="4" w:space="0"/>
              <w:right w:val="single" w:color="auto" w:sz="4" w:space="0"/>
            </w:tcBorders>
            <w:shd w:val="clear" w:color="auto" w:fill="auto"/>
            <w:vAlign w:val="center"/>
          </w:tcPr>
          <w:p w14:paraId="644CB30A">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★分诊管理系统支持管理人员通过图形化界面调整各类状态患者的排队规则，支持多种自定义状态包括：①诊室等候、②优先就诊、③过号、④回诊、⑤复诊、⑥军人、⑦老人、⑧孕妇；</w:t>
            </w:r>
          </w:p>
          <w:p w14:paraId="6D7D846F">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针对这些状态的患者，系统需支持：</w:t>
            </w:r>
          </w:p>
          <w:p w14:paraId="034E958E">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1.支持设置排队的优先级别调整、叫号间隔人数、首位惩罚人数等参数；</w:t>
            </w:r>
          </w:p>
          <w:p w14:paraId="78CC2C8B">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2.支持自定义新增或删除患者状态功能；</w:t>
            </w:r>
          </w:p>
          <w:p w14:paraId="4BD5C709">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3.持规则示例展示功能，使管理人员在同一界面下即时预览不同排队规则设置下，各类患者排队顺序的变化。</w:t>
            </w:r>
          </w:p>
          <w:p w14:paraId="17F9B5CB">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（提供以上功能现场演示）</w:t>
            </w:r>
          </w:p>
        </w:tc>
      </w:tr>
      <w:tr w14:paraId="7368882A">
        <w:tblPrEx>
          <w:tblCellMar>
            <w:top w:w="0" w:type="dxa"/>
            <w:left w:w="108" w:type="dxa"/>
            <w:bottom w:w="0" w:type="dxa"/>
            <w:right w:w="108" w:type="dxa"/>
          </w:tblCellMar>
        </w:tblPrEx>
        <w:trPr>
          <w:trHeight w:val="1104" w:hRule="atLeast"/>
        </w:trPr>
        <w:tc>
          <w:tcPr>
            <w:tcW w:w="5000" w:type="pct"/>
            <w:tcBorders>
              <w:top w:val="nil"/>
              <w:left w:val="nil"/>
              <w:bottom w:val="single" w:color="auto" w:sz="4" w:space="0"/>
              <w:right w:val="single" w:color="auto" w:sz="4" w:space="0"/>
            </w:tcBorders>
            <w:shd w:val="clear" w:color="auto" w:fill="auto"/>
            <w:vAlign w:val="center"/>
          </w:tcPr>
          <w:p w14:paraId="0857AA3C">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★分诊管理系统支持管理人员通过直观的图形化界面调整分时段预约就诊规则：</w:t>
            </w:r>
          </w:p>
          <w:p w14:paraId="262A675C">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①支持管理人员通过鼠标点选的方式设置预约患者提前签到规则，包括：到点签到、提前10分钟签到、提前20分钟签到、提前30分钟签到、提前1小时签到；</w:t>
            </w:r>
          </w:p>
          <w:p w14:paraId="43CC0AAA">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②支持管理人员通过鼠标点选的方式设置预约患者迟到规则，包括：超过预约结束时间、超过预约结束10分钟、超过预约结束20分钟、超过预约结束30分钟。</w:t>
            </w:r>
          </w:p>
          <w:p w14:paraId="05C1F839">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③支持管理人员通过鼠标点选的方式便捷设置预约患者迟到后的排队规则，包括：间隔排队、排在当前时段末尾、下一时段末尾或队尾。</w:t>
            </w:r>
          </w:p>
          <w:p w14:paraId="08C704ED">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（提供以上功能现场演示）</w:t>
            </w:r>
          </w:p>
        </w:tc>
      </w:tr>
      <w:tr w14:paraId="0F61AF56">
        <w:tblPrEx>
          <w:tblCellMar>
            <w:top w:w="0" w:type="dxa"/>
            <w:left w:w="108" w:type="dxa"/>
            <w:bottom w:w="0" w:type="dxa"/>
            <w:right w:w="108" w:type="dxa"/>
          </w:tblCellMar>
        </w:tblPrEx>
        <w:trPr>
          <w:trHeight w:val="1104" w:hRule="atLeast"/>
        </w:trPr>
        <w:tc>
          <w:tcPr>
            <w:tcW w:w="5000" w:type="pct"/>
            <w:tcBorders>
              <w:top w:val="nil"/>
              <w:left w:val="nil"/>
              <w:bottom w:val="single" w:color="auto" w:sz="4" w:space="0"/>
              <w:right w:val="single" w:color="auto" w:sz="4" w:space="0"/>
            </w:tcBorders>
            <w:shd w:val="clear" w:color="auto" w:fill="auto"/>
            <w:vAlign w:val="center"/>
          </w:tcPr>
          <w:p w14:paraId="162B3096">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★分诊管理系统支持管理人员通过直观的图形化界面调整叫号语音：</w:t>
            </w:r>
          </w:p>
          <w:p w14:paraId="11F3A22B">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①支持管理人员对门口呼叫、诊区呼叫、分诊台呼叫语音分别进行设置；</w:t>
            </w:r>
          </w:p>
          <w:p w14:paraId="4AA0FD86">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②语音支持提示音、人声选择、语音读法、语速、重复次数的设置；</w:t>
            </w:r>
          </w:p>
          <w:p w14:paraId="1D2AD679">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③支持设置发声内容，支持以鼠标拖拽的方式选择叫号文字进行叫号内容组合，支持自定义添加内容。</w:t>
            </w:r>
          </w:p>
          <w:p w14:paraId="0F729CCD">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④支持多音字维护；</w:t>
            </w:r>
          </w:p>
          <w:p w14:paraId="1DDB1E76">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（提供以上功能现场演示）</w:t>
            </w:r>
          </w:p>
        </w:tc>
      </w:tr>
      <w:tr w14:paraId="6C5F1C0E">
        <w:tblPrEx>
          <w:tblCellMar>
            <w:top w:w="0" w:type="dxa"/>
            <w:left w:w="108" w:type="dxa"/>
            <w:bottom w:w="0" w:type="dxa"/>
            <w:right w:w="108" w:type="dxa"/>
          </w:tblCellMar>
        </w:tblPrEx>
        <w:trPr>
          <w:trHeight w:val="1104" w:hRule="atLeast"/>
        </w:trPr>
        <w:tc>
          <w:tcPr>
            <w:tcW w:w="5000" w:type="pct"/>
            <w:tcBorders>
              <w:top w:val="nil"/>
              <w:left w:val="nil"/>
              <w:bottom w:val="single" w:color="auto" w:sz="4" w:space="0"/>
              <w:right w:val="single" w:color="auto" w:sz="4" w:space="0"/>
            </w:tcBorders>
            <w:shd w:val="clear" w:color="auto" w:fill="auto"/>
            <w:vAlign w:val="center"/>
          </w:tcPr>
          <w:p w14:paraId="776EDC3A">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●分诊台软件支持属性管理：系统支持后台通过图形化界面设定不同场景的分诊台属性，包含（门诊、医技、体检、发热、急诊、窗口），并支持开启急诊等级设置，按照急诊级别区分颜色可自定义调整颜色。</w:t>
            </w:r>
          </w:p>
        </w:tc>
      </w:tr>
      <w:tr w14:paraId="3E0A5063">
        <w:tblPrEx>
          <w:tblCellMar>
            <w:top w:w="0" w:type="dxa"/>
            <w:left w:w="108" w:type="dxa"/>
            <w:bottom w:w="0" w:type="dxa"/>
            <w:right w:w="108" w:type="dxa"/>
          </w:tblCellMar>
        </w:tblPrEx>
        <w:trPr>
          <w:trHeight w:val="1104" w:hRule="atLeast"/>
        </w:trPr>
        <w:tc>
          <w:tcPr>
            <w:tcW w:w="5000" w:type="pct"/>
            <w:tcBorders>
              <w:top w:val="nil"/>
              <w:left w:val="nil"/>
              <w:bottom w:val="single" w:color="auto" w:sz="4" w:space="0"/>
              <w:right w:val="single" w:color="auto" w:sz="4" w:space="0"/>
            </w:tcBorders>
            <w:shd w:val="clear" w:color="auto" w:fill="auto"/>
            <w:vAlign w:val="center"/>
          </w:tcPr>
          <w:p w14:paraId="780BA743">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●分诊台支持预检补录功能：</w:t>
            </w:r>
          </w:p>
          <w:p w14:paraId="721CABA6">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①支持通过患者卡号获取患者基本信息；</w:t>
            </w:r>
          </w:p>
          <w:p w14:paraId="50F1F850">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②支持护士录入患者体征信息，包括：身高、体重、心率、体温、血压、视力；</w:t>
            </w:r>
          </w:p>
          <w:p w14:paraId="6DCFFC63">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③支持录入跌倒评估状态，包括：意识障碍、步态不稳、需人陪伴、协助行器、特殊术后、视力障碍；</w:t>
            </w:r>
          </w:p>
          <w:p w14:paraId="26FFB115">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④预检信息在医生工作站客户端软件上展示。</w:t>
            </w:r>
          </w:p>
        </w:tc>
      </w:tr>
      <w:tr w14:paraId="3430BAC4">
        <w:tblPrEx>
          <w:tblCellMar>
            <w:top w:w="0" w:type="dxa"/>
            <w:left w:w="108" w:type="dxa"/>
            <w:bottom w:w="0" w:type="dxa"/>
            <w:right w:w="108" w:type="dxa"/>
          </w:tblCellMar>
        </w:tblPrEx>
        <w:trPr>
          <w:trHeight w:val="1104" w:hRule="atLeast"/>
        </w:trPr>
        <w:tc>
          <w:tcPr>
            <w:tcW w:w="5000" w:type="pct"/>
            <w:tcBorders>
              <w:top w:val="nil"/>
              <w:left w:val="nil"/>
              <w:bottom w:val="single" w:color="auto" w:sz="4" w:space="0"/>
              <w:right w:val="single" w:color="auto" w:sz="4" w:space="0"/>
            </w:tcBorders>
            <w:shd w:val="clear" w:color="auto" w:fill="auto"/>
            <w:vAlign w:val="center"/>
          </w:tcPr>
          <w:p w14:paraId="3D79220E">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分诊台广播功能：支持广播功能，分诊台可向候诊区广播语音，向显示终端屏幕上发布文字信息。支持内容自定义编辑，指定终端发布、多时段播放等功能，并支持历史发送内容的记录查看和重播功能；同时支持分诊台跑马灯设置，</w:t>
            </w:r>
            <w:r>
              <w:rPr>
                <w:rFonts w:hint="eastAsia" w:ascii="微软雅黑" w:hAnsi="微软雅黑" w:eastAsia="微软雅黑" w:cs="宋体"/>
                <w:kern w:val="0"/>
                <w:sz w:val="18"/>
                <w:szCs w:val="18"/>
              </w:rPr>
              <w:t>可实现滚动字幕播放，支持设置时间、日期范围，可设置播放速度：慢速、中速、快速；设置滚动方向：向左、向右、向下、向上，</w:t>
            </w:r>
            <w:r>
              <w:rPr>
                <w:rFonts w:hint="eastAsia" w:ascii="华文宋体" w:hAnsi="华文宋体" w:eastAsia="华文宋体" w:cs="宋体"/>
                <w:color w:val="000000" w:themeColor="text1"/>
                <w:kern w:val="0"/>
                <w:sz w:val="21"/>
                <w:szCs w:val="21"/>
                <w:lang w:bidi="bo-CN"/>
                <w14:textFill>
                  <w14:solidFill>
                    <w14:schemeClr w14:val="tx1"/>
                  </w14:solidFill>
                </w14:textFill>
              </w:rPr>
              <w:t xml:space="preserve"> </w:t>
            </w:r>
          </w:p>
        </w:tc>
      </w:tr>
      <w:tr w14:paraId="09266EDD">
        <w:tblPrEx>
          <w:tblCellMar>
            <w:top w:w="0" w:type="dxa"/>
            <w:left w:w="108" w:type="dxa"/>
            <w:bottom w:w="0" w:type="dxa"/>
            <w:right w:w="108" w:type="dxa"/>
          </w:tblCellMar>
        </w:tblPrEx>
        <w:trPr>
          <w:trHeight w:val="1104" w:hRule="atLeast"/>
        </w:trPr>
        <w:tc>
          <w:tcPr>
            <w:tcW w:w="5000" w:type="pct"/>
            <w:tcBorders>
              <w:top w:val="nil"/>
              <w:left w:val="nil"/>
              <w:bottom w:val="single" w:color="auto" w:sz="4" w:space="0"/>
              <w:right w:val="single" w:color="auto" w:sz="4" w:space="0"/>
            </w:tcBorders>
            <w:shd w:val="clear" w:color="auto" w:fill="auto"/>
            <w:vAlign w:val="center"/>
          </w:tcPr>
          <w:p w14:paraId="2510AF79">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 xml:space="preserve">●健康宣教管理：支持系统内任意终端展示健康宣教二维码，患者通过移动端设备如手机访问及使用，可自主查看具备作品登记版权的不低于40个科室500部医疗健康视频。且每部时长不少于3-5分钟，同时需包含病症、病因、诊断等内容； </w:t>
            </w:r>
          </w:p>
        </w:tc>
      </w:tr>
      <w:tr w14:paraId="29440E49">
        <w:tblPrEx>
          <w:tblCellMar>
            <w:top w:w="0" w:type="dxa"/>
            <w:left w:w="108" w:type="dxa"/>
            <w:bottom w:w="0" w:type="dxa"/>
            <w:right w:w="108" w:type="dxa"/>
          </w:tblCellMar>
        </w:tblPrEx>
        <w:trPr>
          <w:trHeight w:val="1104" w:hRule="atLeast"/>
        </w:trPr>
        <w:tc>
          <w:tcPr>
            <w:tcW w:w="5000" w:type="pct"/>
            <w:tcBorders>
              <w:top w:val="nil"/>
              <w:left w:val="nil"/>
              <w:bottom w:val="single" w:color="auto" w:sz="4" w:space="0"/>
              <w:right w:val="single" w:color="auto" w:sz="4" w:space="0"/>
            </w:tcBorders>
            <w:shd w:val="clear" w:color="auto" w:fill="auto"/>
            <w:vAlign w:val="center"/>
          </w:tcPr>
          <w:p w14:paraId="4BBA009E">
            <w:pPr>
              <w:widowControl/>
              <w:ind w:firstLine="0" w:firstLineChars="0"/>
              <w:rPr>
                <w:rFonts w:hint="eastAsia" w:ascii="华文宋体" w:hAnsi="华文宋体" w:eastAsia="华文宋体" w:cs="宋体"/>
                <w:color w:val="000000" w:themeColor="text1"/>
                <w:kern w:val="0"/>
                <w:sz w:val="21"/>
                <w:szCs w:val="21"/>
                <w:lang w:bidi="bo-CN"/>
                <w14:textFill>
                  <w14:solidFill>
                    <w14:schemeClr w14:val="tx1"/>
                  </w14:solidFill>
                </w14:textFill>
              </w:rPr>
            </w:pPr>
            <w:r>
              <w:rPr>
                <w:rFonts w:hint="eastAsia" w:ascii="华文宋体" w:hAnsi="华文宋体" w:eastAsia="华文宋体" w:cs="宋体"/>
                <w:color w:val="000000" w:themeColor="text1"/>
                <w:kern w:val="0"/>
                <w:sz w:val="21"/>
                <w:szCs w:val="21"/>
                <w:lang w:bidi="bo-CN"/>
                <w14:textFill>
                  <w14:solidFill>
                    <w14:schemeClr w14:val="tx1"/>
                  </w14:solidFill>
                </w14:textFill>
              </w:rPr>
              <w:t>●页面管理：系统支持对不同场景的所有页面的管理不限于（门口、队列、诊室列表、显示叫号、报到机等），支持添加，编辑，删除，页面是否开启隐私保护，批量选择终端以及搜索功能。</w:t>
            </w:r>
          </w:p>
        </w:tc>
      </w:tr>
      <w:tr w14:paraId="6246E730">
        <w:tblPrEx>
          <w:tblCellMar>
            <w:top w:w="0" w:type="dxa"/>
            <w:left w:w="108" w:type="dxa"/>
            <w:bottom w:w="0" w:type="dxa"/>
            <w:right w:w="108" w:type="dxa"/>
          </w:tblCellMar>
        </w:tblPrEx>
        <w:trPr>
          <w:trHeight w:val="552" w:hRule="atLeast"/>
        </w:trPr>
        <w:tc>
          <w:tcPr>
            <w:tcW w:w="5000" w:type="pct"/>
            <w:tcBorders>
              <w:top w:val="nil"/>
              <w:left w:val="nil"/>
              <w:bottom w:val="single" w:color="auto" w:sz="4" w:space="0"/>
              <w:right w:val="single" w:color="auto" w:sz="4" w:space="0"/>
            </w:tcBorders>
            <w:shd w:val="clear" w:color="auto" w:fill="auto"/>
            <w:vAlign w:val="center"/>
          </w:tcPr>
          <w:p w14:paraId="5C4C2591">
            <w:pPr>
              <w:widowControl/>
              <w:ind w:left="0" w:leftChars="0" w:firstLine="0" w:firstLineChars="0"/>
              <w:rPr>
                <w:rFonts w:hint="eastAsia" w:ascii="等线" w:hAnsi="等线" w:eastAsia="等线" w:cs="宋体"/>
                <w:color w:val="000000"/>
                <w:kern w:val="0"/>
                <w:szCs w:val="21"/>
                <w:lang w:bidi="bo-CN"/>
              </w:rPr>
            </w:pPr>
            <w:r>
              <w:rPr>
                <w:rFonts w:hint="eastAsia" w:ascii="华文宋体" w:hAnsi="华文宋体" w:eastAsia="华文宋体" w:cs="宋体"/>
                <w:color w:val="000000" w:themeColor="text1"/>
                <w:kern w:val="0"/>
                <w:sz w:val="21"/>
                <w:szCs w:val="21"/>
                <w:lang w:bidi="bo-CN"/>
                <w14:textFill>
                  <w14:solidFill>
                    <w14:schemeClr w14:val="tx1"/>
                  </w14:solidFill>
                </w14:textFill>
              </w:rPr>
              <w:t xml:space="preserve">●为保障信息系统安全，且满足医院相关等保需求，分诊排队系统应满足等级保护三级水平要求，所提供系统应取得等级保护三级备案和等级保护测评报告； </w:t>
            </w:r>
          </w:p>
        </w:tc>
      </w:tr>
    </w:tbl>
    <w:p w14:paraId="67A07FF6">
      <w:pPr>
        <w:ind w:firstLine="480"/>
        <w:rPr>
          <w:rFonts w:hint="eastAsia"/>
        </w:rPr>
      </w:pPr>
    </w:p>
    <w:sectPr>
      <w:headerReference r:id="rId7" w:type="first"/>
      <w:footerReference r:id="rId10" w:type="first"/>
      <w:headerReference r:id="rId5" w:type="default"/>
      <w:footerReference r:id="rId8" w:type="default"/>
      <w:headerReference r:id="rId6" w:type="even"/>
      <w:footerReference r:id="rId9" w:type="even"/>
      <w:pgSz w:w="11906" w:h="16838"/>
      <w:pgMar w:top="1304" w:right="1191" w:bottom="1304" w:left="1191"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Himalaya">
    <w:panose1 w:val="01010100010101010101"/>
    <w:charset w:val="00"/>
    <w:family w:val="auto"/>
    <w:pitch w:val="default"/>
    <w:sig w:usb0="80000003" w:usb1="00010000" w:usb2="00000040" w:usb3="00000000" w:csb0="00000001" w:csb1="00000000"/>
  </w:font>
  <w:font w:name="等线">
    <w:panose1 w:val="02010600030101010101"/>
    <w:charset w:val="86"/>
    <w:family w:val="auto"/>
    <w:pitch w:val="default"/>
    <w:sig w:usb0="A00002BF" w:usb1="38CF7CFA" w:usb2="00000016" w:usb3="00000000" w:csb0="0004000F"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55D2F">
    <w:pPr>
      <w:pStyle w:val="12"/>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70742">
    <w:pPr>
      <w:pStyle w:val="12"/>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94F37">
    <w:pPr>
      <w:pStyle w:val="12"/>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5B018">
    <w:pPr>
      <w:pStyle w:val="13"/>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063A4">
    <w:pPr>
      <w:pStyle w:val="13"/>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0541B">
    <w:pPr>
      <w:pStyle w:val="13"/>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mirrorMargins w:val="1"/>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VhNDdiMGZmMjQ1MTRhZDU2Mjk2ODlkYzUxY2FhYzYifQ=="/>
  </w:docVars>
  <w:rsids>
    <w:rsidRoot w:val="00142E01"/>
    <w:rsid w:val="000937F4"/>
    <w:rsid w:val="000B093D"/>
    <w:rsid w:val="000B4B4E"/>
    <w:rsid w:val="0013471C"/>
    <w:rsid w:val="00142E01"/>
    <w:rsid w:val="00162E43"/>
    <w:rsid w:val="001726D3"/>
    <w:rsid w:val="001C69B3"/>
    <w:rsid w:val="00224814"/>
    <w:rsid w:val="002400D7"/>
    <w:rsid w:val="00241510"/>
    <w:rsid w:val="0027113B"/>
    <w:rsid w:val="002952E3"/>
    <w:rsid w:val="002B01EE"/>
    <w:rsid w:val="003119DE"/>
    <w:rsid w:val="0032226D"/>
    <w:rsid w:val="003619C3"/>
    <w:rsid w:val="004273F4"/>
    <w:rsid w:val="004453C5"/>
    <w:rsid w:val="00561970"/>
    <w:rsid w:val="005B1B6F"/>
    <w:rsid w:val="005B2331"/>
    <w:rsid w:val="005B4443"/>
    <w:rsid w:val="005C58B0"/>
    <w:rsid w:val="005E088A"/>
    <w:rsid w:val="00630E1E"/>
    <w:rsid w:val="00651094"/>
    <w:rsid w:val="006B6702"/>
    <w:rsid w:val="007455A4"/>
    <w:rsid w:val="007530B9"/>
    <w:rsid w:val="00795128"/>
    <w:rsid w:val="007A5B0F"/>
    <w:rsid w:val="007D560B"/>
    <w:rsid w:val="007F0778"/>
    <w:rsid w:val="0081553A"/>
    <w:rsid w:val="008779DF"/>
    <w:rsid w:val="008D6458"/>
    <w:rsid w:val="008D7556"/>
    <w:rsid w:val="009422BE"/>
    <w:rsid w:val="009564A5"/>
    <w:rsid w:val="009828E0"/>
    <w:rsid w:val="009B627A"/>
    <w:rsid w:val="00A02B7F"/>
    <w:rsid w:val="00A77CD8"/>
    <w:rsid w:val="00A80573"/>
    <w:rsid w:val="00A81D57"/>
    <w:rsid w:val="00A87E74"/>
    <w:rsid w:val="00B827E9"/>
    <w:rsid w:val="00BB677B"/>
    <w:rsid w:val="00C22959"/>
    <w:rsid w:val="00C936C1"/>
    <w:rsid w:val="00C95782"/>
    <w:rsid w:val="00CA4FA4"/>
    <w:rsid w:val="00CC0562"/>
    <w:rsid w:val="00CD1BC2"/>
    <w:rsid w:val="00CE281E"/>
    <w:rsid w:val="00D07D0E"/>
    <w:rsid w:val="00D23F9B"/>
    <w:rsid w:val="00DB0859"/>
    <w:rsid w:val="00DE2B3A"/>
    <w:rsid w:val="00E015B4"/>
    <w:rsid w:val="00F647CA"/>
    <w:rsid w:val="00FA1549"/>
    <w:rsid w:val="00FE6232"/>
    <w:rsid w:val="018E0455"/>
    <w:rsid w:val="4F294000"/>
    <w:rsid w:val="74D313FD"/>
    <w:rsid w:val="79173A2A"/>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pPr>
    <w:rPr>
      <w:rFonts w:eastAsia="宋体" w:asciiTheme="minorHAnsi" w:hAnsiTheme="minorHAnsi" w:cstheme="minorBidi"/>
      <w:kern w:val="2"/>
      <w:sz w:val="24"/>
      <w:szCs w:val="22"/>
      <w:lang w:val="en-US" w:eastAsia="zh-CN" w:bidi="ar-SA"/>
    </w:rPr>
  </w:style>
  <w:style w:type="paragraph" w:styleId="2">
    <w:name w:val="heading 1"/>
    <w:basedOn w:val="1"/>
    <w:next w:val="1"/>
    <w:link w:val="18"/>
    <w:qFormat/>
    <w:uiPriority w:val="0"/>
    <w:pPr>
      <w:keepNext/>
      <w:keepLines/>
      <w:spacing w:before="340" w:after="330" w:line="578" w:lineRule="auto"/>
      <w:ind w:firstLine="0" w:firstLineChars="0"/>
      <w:jc w:val="both"/>
      <w:outlineLvl w:val="0"/>
    </w:pPr>
    <w:rPr>
      <w:rFonts w:ascii="Times New Roman" w:hAnsi="Times New Roman" w:cs="Times New Roman"/>
      <w:b/>
      <w:bCs/>
      <w:kern w:val="44"/>
      <w:sz w:val="32"/>
      <w:szCs w:val="44"/>
    </w:rPr>
  </w:style>
  <w:style w:type="paragraph" w:styleId="3">
    <w:name w:val="heading 2"/>
    <w:basedOn w:val="1"/>
    <w:next w:val="1"/>
    <w:link w:val="19"/>
    <w:qFormat/>
    <w:uiPriority w:val="0"/>
    <w:pPr>
      <w:keepNext/>
      <w:keepLines/>
      <w:spacing w:before="260" w:after="260" w:line="416" w:lineRule="auto"/>
      <w:ind w:firstLine="0" w:firstLineChars="0"/>
      <w:jc w:val="both"/>
      <w:outlineLvl w:val="1"/>
    </w:pPr>
    <w:rPr>
      <w:rFonts w:ascii="Arial" w:hAnsi="Arial" w:eastAsia="黑体" w:cs="Times New Roman"/>
      <w:b/>
      <w:bCs/>
      <w:sz w:val="32"/>
      <w:szCs w:val="32"/>
    </w:rPr>
  </w:style>
  <w:style w:type="paragraph" w:styleId="4">
    <w:name w:val="heading 3"/>
    <w:basedOn w:val="1"/>
    <w:next w:val="1"/>
    <w:link w:val="20"/>
    <w:qFormat/>
    <w:uiPriority w:val="0"/>
    <w:pPr>
      <w:keepNext/>
      <w:keepLines/>
      <w:spacing w:before="260" w:after="260" w:line="416" w:lineRule="auto"/>
      <w:ind w:firstLine="0" w:firstLineChars="0"/>
      <w:jc w:val="both"/>
      <w:outlineLvl w:val="2"/>
    </w:pPr>
    <w:rPr>
      <w:rFonts w:ascii="Times New Roman" w:hAnsi="Times New Roman" w:cs="Times New Roman"/>
      <w:b/>
      <w:bCs/>
      <w:sz w:val="32"/>
      <w:szCs w:val="32"/>
    </w:rPr>
  </w:style>
  <w:style w:type="paragraph" w:styleId="5">
    <w:name w:val="heading 4"/>
    <w:basedOn w:val="1"/>
    <w:next w:val="1"/>
    <w:link w:val="21"/>
    <w:qFormat/>
    <w:uiPriority w:val="0"/>
    <w:pPr>
      <w:keepNext/>
      <w:keepLines/>
      <w:spacing w:before="280" w:after="290" w:line="376" w:lineRule="auto"/>
      <w:ind w:firstLine="0" w:firstLineChars="0"/>
      <w:jc w:val="both"/>
      <w:outlineLvl w:val="3"/>
    </w:pPr>
    <w:rPr>
      <w:rFonts w:ascii="Arial" w:hAnsi="Arial" w:eastAsia="黑体" w:cs="Times New Roman"/>
      <w:b/>
      <w:bCs/>
      <w:sz w:val="28"/>
      <w:szCs w:val="28"/>
    </w:rPr>
  </w:style>
  <w:style w:type="paragraph" w:styleId="6">
    <w:name w:val="heading 5"/>
    <w:basedOn w:val="1"/>
    <w:next w:val="1"/>
    <w:link w:val="22"/>
    <w:qFormat/>
    <w:uiPriority w:val="0"/>
    <w:pPr>
      <w:keepNext/>
      <w:keepLines/>
      <w:spacing w:before="280" w:after="290" w:line="376" w:lineRule="auto"/>
      <w:ind w:firstLine="0" w:firstLineChars="0"/>
      <w:jc w:val="both"/>
      <w:outlineLvl w:val="4"/>
    </w:pPr>
    <w:rPr>
      <w:rFonts w:ascii="Times New Roman" w:hAnsi="Times New Roman" w:cs="Times New Roman"/>
      <w:b/>
      <w:bCs/>
      <w:sz w:val="28"/>
      <w:szCs w:val="28"/>
    </w:rPr>
  </w:style>
  <w:style w:type="paragraph" w:styleId="7">
    <w:name w:val="heading 6"/>
    <w:basedOn w:val="1"/>
    <w:next w:val="1"/>
    <w:link w:val="23"/>
    <w:qFormat/>
    <w:uiPriority w:val="0"/>
    <w:pPr>
      <w:keepNext/>
      <w:keepLines/>
      <w:spacing w:before="240" w:after="64" w:line="320" w:lineRule="auto"/>
      <w:ind w:firstLine="0" w:firstLineChars="0"/>
      <w:jc w:val="both"/>
      <w:outlineLvl w:val="5"/>
    </w:pPr>
    <w:rPr>
      <w:rFonts w:ascii="Arial" w:hAnsi="Arial" w:eastAsia="黑体" w:cs="Times New Roman"/>
      <w:b/>
      <w:bCs/>
      <w:szCs w:val="24"/>
    </w:rPr>
  </w:style>
  <w:style w:type="paragraph" w:styleId="8">
    <w:name w:val="heading 7"/>
    <w:basedOn w:val="1"/>
    <w:next w:val="1"/>
    <w:link w:val="24"/>
    <w:qFormat/>
    <w:uiPriority w:val="0"/>
    <w:pPr>
      <w:tabs>
        <w:tab w:val="left" w:pos="4680"/>
      </w:tabs>
      <w:spacing w:before="240" w:after="60"/>
      <w:ind w:left="4320" w:firstLine="0" w:firstLineChars="0"/>
      <w:jc w:val="both"/>
      <w:outlineLvl w:val="6"/>
    </w:pPr>
    <w:rPr>
      <w:rFonts w:ascii="Times New Roman" w:hAnsi="Times New Roman" w:cs="Times New Roman"/>
      <w:szCs w:val="24"/>
    </w:rPr>
  </w:style>
  <w:style w:type="paragraph" w:styleId="9">
    <w:name w:val="heading 8"/>
    <w:basedOn w:val="1"/>
    <w:next w:val="1"/>
    <w:link w:val="25"/>
    <w:qFormat/>
    <w:uiPriority w:val="0"/>
    <w:pPr>
      <w:tabs>
        <w:tab w:val="left" w:pos="5400"/>
      </w:tabs>
      <w:spacing w:before="240" w:after="60"/>
      <w:ind w:left="5040" w:firstLine="0" w:firstLineChars="0"/>
      <w:jc w:val="both"/>
      <w:outlineLvl w:val="7"/>
    </w:pPr>
    <w:rPr>
      <w:rFonts w:ascii="Times New Roman" w:hAnsi="Times New Roman" w:cs="Times New Roman"/>
      <w:i/>
      <w:iCs/>
      <w:szCs w:val="24"/>
    </w:rPr>
  </w:style>
  <w:style w:type="paragraph" w:styleId="10">
    <w:name w:val="heading 9"/>
    <w:basedOn w:val="1"/>
    <w:next w:val="1"/>
    <w:link w:val="26"/>
    <w:qFormat/>
    <w:uiPriority w:val="0"/>
    <w:pPr>
      <w:tabs>
        <w:tab w:val="left" w:pos="6120"/>
      </w:tabs>
      <w:spacing w:before="240" w:after="60"/>
      <w:ind w:left="5760" w:firstLine="0" w:firstLineChars="0"/>
      <w:jc w:val="both"/>
      <w:outlineLvl w:val="8"/>
    </w:pPr>
    <w:rPr>
      <w:rFonts w:ascii="Arial" w:hAnsi="Arial" w:cs="Arial"/>
      <w:sz w:val="22"/>
    </w:rPr>
  </w:style>
  <w:style w:type="character" w:default="1" w:styleId="16">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1"/>
    <w:semiHidden/>
    <w:unhideWhenUsed/>
    <w:qFormat/>
    <w:uiPriority w:val="99"/>
  </w:style>
  <w:style w:type="paragraph" w:styleId="12">
    <w:name w:val="footer"/>
    <w:basedOn w:val="1"/>
    <w:link w:val="28"/>
    <w:unhideWhenUsed/>
    <w:qFormat/>
    <w:uiPriority w:val="99"/>
    <w:pPr>
      <w:tabs>
        <w:tab w:val="center" w:pos="4153"/>
        <w:tab w:val="right" w:pos="8306"/>
      </w:tabs>
      <w:snapToGrid w:val="0"/>
    </w:pPr>
    <w:rPr>
      <w:sz w:val="18"/>
      <w:szCs w:val="18"/>
    </w:rPr>
  </w:style>
  <w:style w:type="paragraph" w:styleId="13">
    <w:name w:val="header"/>
    <w:basedOn w:val="1"/>
    <w:link w:val="27"/>
    <w:unhideWhenUsed/>
    <w:uiPriority w:val="99"/>
    <w:pPr>
      <w:tabs>
        <w:tab w:val="center" w:pos="4153"/>
        <w:tab w:val="right" w:pos="8306"/>
      </w:tabs>
      <w:snapToGrid w:val="0"/>
      <w:jc w:val="center"/>
    </w:pPr>
    <w:rPr>
      <w:sz w:val="18"/>
      <w:szCs w:val="18"/>
    </w:rPr>
  </w:style>
  <w:style w:type="paragraph" w:styleId="14">
    <w:name w:val="annotation subject"/>
    <w:basedOn w:val="11"/>
    <w:next w:val="11"/>
    <w:link w:val="32"/>
    <w:semiHidden/>
    <w:unhideWhenUsed/>
    <w:qFormat/>
    <w:uiPriority w:val="99"/>
    <w:rPr>
      <w:b/>
      <w:bCs/>
    </w:rPr>
  </w:style>
  <w:style w:type="character" w:styleId="17">
    <w:name w:val="annotation reference"/>
    <w:basedOn w:val="16"/>
    <w:semiHidden/>
    <w:unhideWhenUsed/>
    <w:qFormat/>
    <w:uiPriority w:val="99"/>
    <w:rPr>
      <w:sz w:val="21"/>
      <w:szCs w:val="21"/>
    </w:rPr>
  </w:style>
  <w:style w:type="character" w:customStyle="1" w:styleId="18">
    <w:name w:val="标题 1 字符"/>
    <w:link w:val="2"/>
    <w:qFormat/>
    <w:uiPriority w:val="0"/>
    <w:rPr>
      <w:rFonts w:ascii="Times New Roman" w:hAnsi="Times New Roman" w:cs="Times New Roman"/>
      <w:b/>
      <w:bCs/>
      <w:kern w:val="44"/>
      <w:sz w:val="32"/>
      <w:szCs w:val="44"/>
    </w:rPr>
  </w:style>
  <w:style w:type="character" w:customStyle="1" w:styleId="19">
    <w:name w:val="标题 2 字符"/>
    <w:link w:val="3"/>
    <w:qFormat/>
    <w:uiPriority w:val="0"/>
    <w:rPr>
      <w:rFonts w:ascii="Arial" w:hAnsi="Arial" w:eastAsia="黑体" w:cs="Times New Roman"/>
      <w:b/>
      <w:bCs/>
      <w:sz w:val="32"/>
      <w:szCs w:val="32"/>
    </w:rPr>
  </w:style>
  <w:style w:type="character" w:customStyle="1" w:styleId="20">
    <w:name w:val="标题 3 字符"/>
    <w:link w:val="4"/>
    <w:uiPriority w:val="0"/>
    <w:rPr>
      <w:rFonts w:ascii="Times New Roman" w:hAnsi="Times New Roman" w:cs="Times New Roman"/>
      <w:b/>
      <w:bCs/>
      <w:sz w:val="32"/>
      <w:szCs w:val="32"/>
    </w:rPr>
  </w:style>
  <w:style w:type="character" w:customStyle="1" w:styleId="21">
    <w:name w:val="标题 4 字符"/>
    <w:basedOn w:val="16"/>
    <w:link w:val="5"/>
    <w:qFormat/>
    <w:uiPriority w:val="0"/>
    <w:rPr>
      <w:rFonts w:ascii="Arial" w:hAnsi="Arial" w:eastAsia="黑体" w:cs="Times New Roman"/>
      <w:b/>
      <w:bCs/>
      <w:sz w:val="28"/>
      <w:szCs w:val="28"/>
    </w:rPr>
  </w:style>
  <w:style w:type="character" w:customStyle="1" w:styleId="22">
    <w:name w:val="标题 5 字符"/>
    <w:basedOn w:val="16"/>
    <w:link w:val="6"/>
    <w:qFormat/>
    <w:uiPriority w:val="0"/>
    <w:rPr>
      <w:rFonts w:ascii="Times New Roman" w:hAnsi="Times New Roman" w:cs="Times New Roman"/>
      <w:b/>
      <w:bCs/>
      <w:sz w:val="28"/>
      <w:szCs w:val="28"/>
    </w:rPr>
  </w:style>
  <w:style w:type="character" w:customStyle="1" w:styleId="23">
    <w:name w:val="标题 6 字符"/>
    <w:basedOn w:val="16"/>
    <w:link w:val="7"/>
    <w:uiPriority w:val="0"/>
    <w:rPr>
      <w:rFonts w:ascii="Arial" w:hAnsi="Arial" w:eastAsia="黑体" w:cs="Times New Roman"/>
      <w:b/>
      <w:bCs/>
      <w:szCs w:val="24"/>
    </w:rPr>
  </w:style>
  <w:style w:type="character" w:customStyle="1" w:styleId="24">
    <w:name w:val="标题 7 字符"/>
    <w:basedOn w:val="16"/>
    <w:link w:val="8"/>
    <w:uiPriority w:val="0"/>
    <w:rPr>
      <w:rFonts w:ascii="Times New Roman" w:hAnsi="Times New Roman" w:cs="Times New Roman"/>
      <w:szCs w:val="24"/>
    </w:rPr>
  </w:style>
  <w:style w:type="character" w:customStyle="1" w:styleId="25">
    <w:name w:val="标题 8 字符"/>
    <w:basedOn w:val="16"/>
    <w:link w:val="9"/>
    <w:qFormat/>
    <w:uiPriority w:val="0"/>
    <w:rPr>
      <w:rFonts w:ascii="Times New Roman" w:hAnsi="Times New Roman" w:cs="Times New Roman"/>
      <w:i/>
      <w:iCs/>
      <w:szCs w:val="24"/>
    </w:rPr>
  </w:style>
  <w:style w:type="character" w:customStyle="1" w:styleId="26">
    <w:name w:val="标题 9 字符"/>
    <w:basedOn w:val="16"/>
    <w:link w:val="10"/>
    <w:qFormat/>
    <w:uiPriority w:val="0"/>
    <w:rPr>
      <w:rFonts w:ascii="Arial" w:hAnsi="Arial" w:cs="Arial"/>
      <w:sz w:val="22"/>
    </w:rPr>
  </w:style>
  <w:style w:type="character" w:customStyle="1" w:styleId="27">
    <w:name w:val="页眉 字符"/>
    <w:basedOn w:val="16"/>
    <w:link w:val="13"/>
    <w:uiPriority w:val="99"/>
    <w:rPr>
      <w:sz w:val="18"/>
      <w:szCs w:val="18"/>
    </w:rPr>
  </w:style>
  <w:style w:type="character" w:customStyle="1" w:styleId="28">
    <w:name w:val="页脚 字符"/>
    <w:basedOn w:val="16"/>
    <w:link w:val="12"/>
    <w:uiPriority w:val="99"/>
    <w:rPr>
      <w:sz w:val="18"/>
      <w:szCs w:val="18"/>
    </w:rPr>
  </w:style>
  <w:style w:type="paragraph" w:styleId="29">
    <w:name w:val="List Paragraph"/>
    <w:basedOn w:val="1"/>
    <w:qFormat/>
    <w:uiPriority w:val="34"/>
    <w:pPr>
      <w:ind w:firstLine="420"/>
    </w:pPr>
  </w:style>
  <w:style w:type="paragraph" w:styleId="30">
    <w:name w:val="No Spacing"/>
    <w:qFormat/>
    <w:uiPriority w:val="1"/>
    <w:pPr>
      <w:widowControl w:val="0"/>
      <w:ind w:firstLine="200" w:firstLineChars="200"/>
    </w:pPr>
    <w:rPr>
      <w:rFonts w:eastAsia="宋体" w:asciiTheme="minorHAnsi" w:hAnsiTheme="minorHAnsi" w:cstheme="minorBidi"/>
      <w:kern w:val="2"/>
      <w:sz w:val="24"/>
      <w:szCs w:val="22"/>
      <w:lang w:val="en-US" w:eastAsia="zh-CN" w:bidi="ar-SA"/>
    </w:rPr>
  </w:style>
  <w:style w:type="character" w:customStyle="1" w:styleId="31">
    <w:name w:val="批注文字 字符"/>
    <w:basedOn w:val="16"/>
    <w:link w:val="11"/>
    <w:semiHidden/>
    <w:uiPriority w:val="99"/>
    <w:rPr>
      <w:kern w:val="2"/>
      <w:sz w:val="24"/>
      <w:szCs w:val="22"/>
    </w:rPr>
  </w:style>
  <w:style w:type="character" w:customStyle="1" w:styleId="32">
    <w:name w:val="批注主题 字符"/>
    <w:basedOn w:val="31"/>
    <w:link w:val="14"/>
    <w:semiHidden/>
    <w:uiPriority w:val="99"/>
    <w:rPr>
      <w:b/>
      <w:bCs/>
      <w:kern w:val="2"/>
      <w:sz w:val="24"/>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1282</Words>
  <Characters>1296</Characters>
  <Lines>9</Lines>
  <Paragraphs>2</Paragraphs>
  <TotalTime>2</TotalTime>
  <ScaleCrop>false</ScaleCrop>
  <LinksUpToDate>false</LinksUpToDate>
  <CharactersWithSpaces>1299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2024-08-28T08:48:00Z</dcterms:created>
  <dc:creator>liu le</dc:creator>
  <cp:lastModifiedBy>琴</cp:lastModifiedBy>
  <dcterms:modified xsi:type="dcterms:W3CDTF">2024-09-14T08:14:08Z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BD6BBEA989E74E4D9840F6C0C2D9AD37_12</vt:lpwstr>
  </property>
</Properties>
</file>